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B127" w14:textId="2252334B" w:rsidR="009F740A" w:rsidRPr="009F46DF" w:rsidRDefault="00505F91" w:rsidP="009F740A">
      <w:pPr>
        <w:rPr>
          <w:sz w:val="52"/>
          <w:szCs w:val="52"/>
        </w:rPr>
      </w:pPr>
      <w:r w:rsidRPr="009F46DF">
        <w:rPr>
          <w:noProof/>
          <w:sz w:val="52"/>
          <w:szCs w:val="52"/>
        </w:rPr>
        <w:drawing>
          <wp:anchor distT="0" distB="0" distL="114300" distR="114300" simplePos="0" relativeHeight="251690496" behindDoc="0" locked="0" layoutInCell="1" allowOverlap="1" wp14:anchorId="7920D788" wp14:editId="3613771D">
            <wp:simplePos x="0" y="0"/>
            <wp:positionH relativeFrom="margin">
              <wp:posOffset>-59055</wp:posOffset>
            </wp:positionH>
            <wp:positionV relativeFrom="paragraph">
              <wp:posOffset>-194945</wp:posOffset>
            </wp:positionV>
            <wp:extent cx="1285461" cy="1303825"/>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461" cy="1303825"/>
                    </a:xfrm>
                    <a:prstGeom prst="rect">
                      <a:avLst/>
                    </a:prstGeom>
                  </pic:spPr>
                </pic:pic>
              </a:graphicData>
            </a:graphic>
            <wp14:sizeRelH relativeFrom="page">
              <wp14:pctWidth>0</wp14:pctWidth>
            </wp14:sizeRelH>
            <wp14:sizeRelV relativeFrom="page">
              <wp14:pctHeight>0</wp14:pctHeight>
            </wp14:sizeRelV>
          </wp:anchor>
        </w:drawing>
      </w:r>
      <w:r w:rsidRPr="009F46DF">
        <w:rPr>
          <w:noProof/>
          <w:sz w:val="52"/>
          <w:szCs w:val="52"/>
        </w:rPr>
        <w:drawing>
          <wp:anchor distT="0" distB="0" distL="114300" distR="114300" simplePos="0" relativeHeight="251639296" behindDoc="0" locked="0" layoutInCell="1" allowOverlap="1" wp14:anchorId="3BA16EF9" wp14:editId="43D8E51B">
            <wp:simplePos x="0" y="0"/>
            <wp:positionH relativeFrom="margin">
              <wp:posOffset>3859613</wp:posOffset>
            </wp:positionH>
            <wp:positionV relativeFrom="paragraph">
              <wp:posOffset>-397399</wp:posOffset>
            </wp:positionV>
            <wp:extent cx="2293373" cy="1484244"/>
            <wp:effectExtent l="0" t="0" r="0" b="1905"/>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3373" cy="1484244"/>
                    </a:xfrm>
                    <a:prstGeom prst="rect">
                      <a:avLst/>
                    </a:prstGeom>
                  </pic:spPr>
                </pic:pic>
              </a:graphicData>
            </a:graphic>
            <wp14:sizeRelH relativeFrom="page">
              <wp14:pctWidth>0</wp14:pctWidth>
            </wp14:sizeRelH>
            <wp14:sizeRelV relativeFrom="page">
              <wp14:pctHeight>0</wp14:pctHeight>
            </wp14:sizeRelV>
          </wp:anchor>
        </w:drawing>
      </w:r>
    </w:p>
    <w:p w14:paraId="0A1114AA" w14:textId="77777777" w:rsidR="009F740A" w:rsidRPr="009F46DF" w:rsidRDefault="009F740A" w:rsidP="009F740A">
      <w:pPr>
        <w:rPr>
          <w:sz w:val="52"/>
          <w:szCs w:val="52"/>
        </w:rPr>
      </w:pPr>
    </w:p>
    <w:p w14:paraId="3B791F11" w14:textId="73F278A7" w:rsidR="009F740A" w:rsidRPr="009F46DF" w:rsidRDefault="009F740A" w:rsidP="00307092">
      <w:pPr>
        <w:tabs>
          <w:tab w:val="right" w:pos="8408"/>
        </w:tabs>
        <w:rPr>
          <w:b/>
          <w:sz w:val="52"/>
          <w:szCs w:val="52"/>
        </w:rPr>
      </w:pPr>
    </w:p>
    <w:p w14:paraId="411C9D9D" w14:textId="77777777" w:rsidR="009A133D" w:rsidRDefault="009A133D" w:rsidP="00D17846">
      <w:pPr>
        <w:rPr>
          <w:b/>
          <w:sz w:val="52"/>
          <w:szCs w:val="52"/>
        </w:rPr>
      </w:pPr>
    </w:p>
    <w:p w14:paraId="3EA6D7D3" w14:textId="77777777" w:rsidR="009A133D" w:rsidRDefault="009A133D" w:rsidP="00D17846">
      <w:pPr>
        <w:rPr>
          <w:b/>
          <w:sz w:val="52"/>
          <w:szCs w:val="52"/>
        </w:rPr>
      </w:pPr>
    </w:p>
    <w:p w14:paraId="2BC777D2" w14:textId="29668653" w:rsidR="00813AC0" w:rsidRDefault="00DD229B" w:rsidP="00DA0336">
      <w:pPr>
        <w:widowControl w:val="0"/>
        <w:autoSpaceDE w:val="0"/>
        <w:autoSpaceDN w:val="0"/>
        <w:rPr>
          <w:rFonts w:ascii="Calibri" w:eastAsia="Calibri" w:hAnsi="Calibri" w:cs="Calibri"/>
          <w:b/>
          <w:color w:val="365F91" w:themeColor="accent1" w:themeShade="BF"/>
          <w:sz w:val="48"/>
          <w:szCs w:val="48"/>
          <w:lang w:bidi="en-GB"/>
        </w:rPr>
      </w:pPr>
      <w:r>
        <w:rPr>
          <w:rFonts w:ascii="Calibri" w:eastAsia="Calibri" w:hAnsi="Calibri" w:cs="Calibri"/>
          <w:b/>
          <w:color w:val="365F91" w:themeColor="accent1" w:themeShade="BF"/>
          <w:sz w:val="48"/>
          <w:szCs w:val="48"/>
          <w:lang w:bidi="en-GB"/>
        </w:rPr>
        <w:t xml:space="preserve">Evidence </w:t>
      </w:r>
      <w:r w:rsidR="00DA2237">
        <w:rPr>
          <w:rFonts w:ascii="Calibri" w:eastAsia="Calibri" w:hAnsi="Calibri" w:cs="Calibri"/>
          <w:b/>
          <w:color w:val="365F91" w:themeColor="accent1" w:themeShade="BF"/>
          <w:sz w:val="48"/>
          <w:szCs w:val="48"/>
          <w:lang w:bidi="en-GB"/>
        </w:rPr>
        <w:t>B</w:t>
      </w:r>
      <w:r>
        <w:rPr>
          <w:rFonts w:ascii="Calibri" w:eastAsia="Calibri" w:hAnsi="Calibri" w:cs="Calibri"/>
          <w:b/>
          <w:color w:val="365F91" w:themeColor="accent1" w:themeShade="BF"/>
          <w:sz w:val="48"/>
          <w:szCs w:val="48"/>
          <w:lang w:bidi="en-GB"/>
        </w:rPr>
        <w:t xml:space="preserve">ased </w:t>
      </w:r>
      <w:r w:rsidR="00DA2237">
        <w:rPr>
          <w:rFonts w:ascii="Calibri" w:eastAsia="Calibri" w:hAnsi="Calibri" w:cs="Calibri"/>
          <w:b/>
          <w:color w:val="365F91" w:themeColor="accent1" w:themeShade="BF"/>
          <w:sz w:val="48"/>
          <w:szCs w:val="48"/>
          <w:lang w:bidi="en-GB"/>
        </w:rPr>
        <w:t>I</w:t>
      </w:r>
      <w:r>
        <w:rPr>
          <w:rFonts w:ascii="Calibri" w:eastAsia="Calibri" w:hAnsi="Calibri" w:cs="Calibri"/>
          <w:b/>
          <w:color w:val="365F91" w:themeColor="accent1" w:themeShade="BF"/>
          <w:sz w:val="48"/>
          <w:szCs w:val="48"/>
          <w:lang w:bidi="en-GB"/>
        </w:rPr>
        <w:t xml:space="preserve">ntervention </w:t>
      </w:r>
    </w:p>
    <w:p w14:paraId="5D3BF6CB" w14:textId="77777777" w:rsidR="00DA0336" w:rsidRDefault="00DA0336" w:rsidP="00DA0336">
      <w:pPr>
        <w:widowControl w:val="0"/>
        <w:autoSpaceDE w:val="0"/>
        <w:autoSpaceDN w:val="0"/>
        <w:rPr>
          <w:rFonts w:ascii="Calibri" w:eastAsia="Calibri" w:hAnsi="Calibri" w:cs="Calibri"/>
          <w:b/>
          <w:color w:val="365F91" w:themeColor="accent1" w:themeShade="BF"/>
          <w:sz w:val="48"/>
          <w:szCs w:val="48"/>
          <w:lang w:bidi="en-GB"/>
        </w:rPr>
      </w:pPr>
    </w:p>
    <w:p w14:paraId="50112539" w14:textId="302675BF" w:rsidR="0054626B" w:rsidRDefault="0054626B" w:rsidP="0054626B">
      <w:pPr>
        <w:rPr>
          <w:rFonts w:ascii="Calibri" w:eastAsia="Calibri" w:hAnsi="Calibri" w:cs="Calibri"/>
          <w:b/>
          <w:color w:val="365F91" w:themeColor="accent1" w:themeShade="BF"/>
          <w:sz w:val="48"/>
          <w:szCs w:val="48"/>
          <w:lang w:bidi="en-GB"/>
        </w:rPr>
      </w:pPr>
      <w:r w:rsidRPr="0054626B">
        <w:rPr>
          <w:rFonts w:ascii="Calibri" w:eastAsia="Calibri" w:hAnsi="Calibri" w:cs="Calibri"/>
          <w:b/>
          <w:color w:val="365F91" w:themeColor="accent1" w:themeShade="BF"/>
          <w:sz w:val="48"/>
          <w:szCs w:val="48"/>
          <w:lang w:bidi="en-GB"/>
        </w:rPr>
        <w:t>Scar Revision</w:t>
      </w:r>
    </w:p>
    <w:p w14:paraId="4E7FE326" w14:textId="77777777" w:rsidR="0054626B" w:rsidRPr="0054626B" w:rsidRDefault="0054626B" w:rsidP="0054626B">
      <w:pPr>
        <w:rPr>
          <w:rFonts w:ascii="Calibri" w:eastAsia="Calibri" w:hAnsi="Calibri" w:cs="Calibri"/>
          <w:b/>
          <w:color w:val="365F91" w:themeColor="accent1" w:themeShade="BF"/>
          <w:sz w:val="48"/>
          <w:szCs w:val="48"/>
          <w:lang w:bidi="en-GB"/>
        </w:rPr>
      </w:pPr>
    </w:p>
    <w:p w14:paraId="1BB2F41C" w14:textId="0F39D067" w:rsidR="00B74C72" w:rsidRDefault="0054626B" w:rsidP="0054626B">
      <w:pPr>
        <w:rPr>
          <w:rFonts w:ascii="Calibri" w:eastAsia="Calibri" w:hAnsi="Calibri" w:cs="Calibri"/>
          <w:b/>
          <w:color w:val="365F91" w:themeColor="accent1" w:themeShade="BF"/>
          <w:sz w:val="48"/>
          <w:szCs w:val="48"/>
          <w:lang w:bidi="en-GB"/>
        </w:rPr>
      </w:pPr>
      <w:r w:rsidRPr="0054626B">
        <w:rPr>
          <w:rFonts w:ascii="Calibri" w:eastAsia="Calibri" w:hAnsi="Calibri" w:cs="Calibri"/>
          <w:b/>
          <w:color w:val="365F91" w:themeColor="accent1" w:themeShade="BF"/>
          <w:sz w:val="48"/>
          <w:szCs w:val="48"/>
          <w:lang w:bidi="en-GB"/>
        </w:rPr>
        <w:t xml:space="preserve">July 2022 </w:t>
      </w:r>
      <w:r>
        <w:rPr>
          <w:rFonts w:ascii="Calibri" w:eastAsia="Calibri" w:hAnsi="Calibri" w:cs="Calibri"/>
          <w:b/>
          <w:color w:val="365F91" w:themeColor="accent1" w:themeShade="BF"/>
          <w:sz w:val="48"/>
          <w:szCs w:val="48"/>
          <w:lang w:bidi="en-GB"/>
        </w:rPr>
        <w:t>v</w:t>
      </w:r>
      <w:r w:rsidRPr="0054626B">
        <w:rPr>
          <w:rFonts w:ascii="Calibri" w:eastAsia="Calibri" w:hAnsi="Calibri" w:cs="Calibri"/>
          <w:b/>
          <w:color w:val="365F91" w:themeColor="accent1" w:themeShade="BF"/>
          <w:sz w:val="48"/>
          <w:szCs w:val="48"/>
          <w:lang w:bidi="en-GB"/>
        </w:rPr>
        <w:t>1.0</w:t>
      </w:r>
    </w:p>
    <w:p w14:paraId="1A9B7017" w14:textId="77777777" w:rsidR="0054626B" w:rsidRPr="009F46DF" w:rsidRDefault="0054626B" w:rsidP="0054626B">
      <w:pPr>
        <w:rPr>
          <w:b/>
          <w:sz w:val="52"/>
          <w:szCs w:val="52"/>
        </w:rPr>
      </w:pPr>
    </w:p>
    <w:tbl>
      <w:tblPr>
        <w:tblStyle w:val="TableGrid"/>
        <w:tblpPr w:leftFromText="180" w:rightFromText="180" w:vertAnchor="text" w:horzAnchor="margin" w:tblpXSpec="center" w:tblpY="187"/>
        <w:tblW w:w="8789" w:type="dxa"/>
        <w:tblLook w:val="04A0" w:firstRow="1" w:lastRow="0" w:firstColumn="1" w:lastColumn="0" w:noHBand="0" w:noVBand="1"/>
      </w:tblPr>
      <w:tblGrid>
        <w:gridCol w:w="2405"/>
        <w:gridCol w:w="6384"/>
      </w:tblGrid>
      <w:tr w:rsidR="00F06FD8" w:rsidRPr="00676D86" w14:paraId="72119E20" w14:textId="77777777" w:rsidTr="00F06FD8">
        <w:tc>
          <w:tcPr>
            <w:tcW w:w="2405" w:type="dxa"/>
            <w:shd w:val="clear" w:color="auto" w:fill="F2F2F2" w:themeFill="background1" w:themeFillShade="F2"/>
          </w:tcPr>
          <w:p w14:paraId="5BB3CDF1" w14:textId="77777777" w:rsidR="00F06FD8" w:rsidRPr="009E027D" w:rsidRDefault="00F06FD8" w:rsidP="00F06FD8">
            <w:pPr>
              <w:spacing w:before="60" w:after="60"/>
              <w:rPr>
                <w:b/>
                <w:bCs/>
                <w:color w:val="365F91" w:themeColor="accent1" w:themeShade="BF"/>
                <w:sz w:val="22"/>
                <w:szCs w:val="22"/>
              </w:rPr>
            </w:pPr>
            <w:r w:rsidRPr="009E027D">
              <w:rPr>
                <w:b/>
                <w:bCs/>
                <w:color w:val="365F91" w:themeColor="accent1" w:themeShade="BF"/>
                <w:sz w:val="22"/>
                <w:szCs w:val="22"/>
              </w:rPr>
              <w:br w:type="page"/>
              <w:t>Document Owner:</w:t>
            </w:r>
          </w:p>
        </w:tc>
        <w:tc>
          <w:tcPr>
            <w:tcW w:w="6384" w:type="dxa"/>
          </w:tcPr>
          <w:p w14:paraId="1BF07051" w14:textId="0804CFED" w:rsidR="00F06FD8" w:rsidRPr="00505F91" w:rsidRDefault="00DA2237" w:rsidP="00F06FD8">
            <w:pPr>
              <w:spacing w:before="60" w:after="60"/>
              <w:rPr>
                <w:color w:val="FF0000"/>
                <w:sz w:val="22"/>
                <w:szCs w:val="22"/>
              </w:rPr>
            </w:pPr>
            <w:r w:rsidRPr="00DA2237">
              <w:rPr>
                <w:sz w:val="22"/>
                <w:szCs w:val="22"/>
              </w:rPr>
              <w:t>Dr Rachel Joyce – Medical Director</w:t>
            </w:r>
          </w:p>
        </w:tc>
      </w:tr>
      <w:tr w:rsidR="00F06FD8" w:rsidRPr="00676D86" w14:paraId="44B774F8" w14:textId="77777777" w:rsidTr="00F06FD8">
        <w:tc>
          <w:tcPr>
            <w:tcW w:w="2405" w:type="dxa"/>
            <w:shd w:val="clear" w:color="auto" w:fill="F2F2F2" w:themeFill="background1" w:themeFillShade="F2"/>
          </w:tcPr>
          <w:p w14:paraId="28EC3580" w14:textId="77777777" w:rsidR="00F06FD8" w:rsidRPr="009E027D" w:rsidRDefault="00F06FD8" w:rsidP="00F06FD8">
            <w:pPr>
              <w:spacing w:before="60" w:after="60"/>
              <w:ind w:right="-250"/>
              <w:rPr>
                <w:b/>
                <w:bCs/>
                <w:color w:val="365F91" w:themeColor="accent1" w:themeShade="BF"/>
                <w:sz w:val="22"/>
                <w:szCs w:val="22"/>
              </w:rPr>
            </w:pPr>
            <w:r w:rsidRPr="009E027D">
              <w:rPr>
                <w:b/>
                <w:bCs/>
                <w:color w:val="365F91" w:themeColor="accent1" w:themeShade="BF"/>
                <w:sz w:val="22"/>
                <w:szCs w:val="22"/>
              </w:rPr>
              <w:t>Document Author(s):</w:t>
            </w:r>
          </w:p>
        </w:tc>
        <w:tc>
          <w:tcPr>
            <w:tcW w:w="6384" w:type="dxa"/>
          </w:tcPr>
          <w:p w14:paraId="08CD3D5B" w14:textId="0DD9380B" w:rsidR="00F06FD8" w:rsidRPr="00505F91" w:rsidRDefault="00DA2237" w:rsidP="00F06FD8">
            <w:pPr>
              <w:spacing w:before="60" w:after="60"/>
              <w:rPr>
                <w:sz w:val="22"/>
                <w:szCs w:val="22"/>
              </w:rPr>
            </w:pPr>
            <w:r>
              <w:rPr>
                <w:sz w:val="22"/>
                <w:szCs w:val="22"/>
              </w:rPr>
              <w:t>Clinical Policies Group</w:t>
            </w:r>
          </w:p>
        </w:tc>
      </w:tr>
      <w:tr w:rsidR="00F06FD8" w:rsidRPr="00676D86" w14:paraId="424894B0" w14:textId="77777777" w:rsidTr="00F06FD8">
        <w:tc>
          <w:tcPr>
            <w:tcW w:w="2405" w:type="dxa"/>
            <w:shd w:val="clear" w:color="auto" w:fill="F2F2F2" w:themeFill="background1" w:themeFillShade="F2"/>
          </w:tcPr>
          <w:p w14:paraId="4D0F2EAD" w14:textId="77777777" w:rsidR="00F06FD8" w:rsidRPr="009E027D" w:rsidRDefault="00F06FD8" w:rsidP="00F06FD8">
            <w:pPr>
              <w:spacing w:before="60" w:after="60"/>
              <w:rPr>
                <w:b/>
                <w:bCs/>
                <w:color w:val="365F91" w:themeColor="accent1" w:themeShade="BF"/>
                <w:sz w:val="22"/>
                <w:szCs w:val="22"/>
              </w:rPr>
            </w:pPr>
            <w:r w:rsidRPr="009E027D">
              <w:rPr>
                <w:b/>
                <w:bCs/>
                <w:color w:val="365F91" w:themeColor="accent1" w:themeShade="BF"/>
                <w:sz w:val="22"/>
                <w:szCs w:val="22"/>
              </w:rPr>
              <w:t>Version:</w:t>
            </w:r>
          </w:p>
        </w:tc>
        <w:tc>
          <w:tcPr>
            <w:tcW w:w="6384" w:type="dxa"/>
          </w:tcPr>
          <w:p w14:paraId="5A7E81DB" w14:textId="30B9F092" w:rsidR="00F06FD8" w:rsidRPr="00505F91" w:rsidRDefault="0054626B" w:rsidP="00F06FD8">
            <w:pPr>
              <w:spacing w:before="60" w:after="60"/>
              <w:rPr>
                <w:sz w:val="22"/>
                <w:szCs w:val="22"/>
              </w:rPr>
            </w:pPr>
            <w:r>
              <w:rPr>
                <w:sz w:val="22"/>
                <w:szCs w:val="22"/>
              </w:rPr>
              <w:t>V1.0</w:t>
            </w:r>
          </w:p>
        </w:tc>
      </w:tr>
      <w:tr w:rsidR="00F06FD8" w:rsidRPr="00676D86" w14:paraId="1D1CF6EC" w14:textId="77777777" w:rsidTr="00F06FD8">
        <w:tc>
          <w:tcPr>
            <w:tcW w:w="2405" w:type="dxa"/>
            <w:shd w:val="clear" w:color="auto" w:fill="F2F2F2" w:themeFill="background1" w:themeFillShade="F2"/>
          </w:tcPr>
          <w:p w14:paraId="757CED84" w14:textId="77777777" w:rsidR="00F06FD8" w:rsidRPr="009E027D" w:rsidRDefault="00F06FD8" w:rsidP="00F06FD8">
            <w:pPr>
              <w:spacing w:before="60" w:after="60"/>
              <w:rPr>
                <w:b/>
                <w:bCs/>
                <w:color w:val="365F91" w:themeColor="accent1" w:themeShade="BF"/>
                <w:sz w:val="22"/>
                <w:szCs w:val="22"/>
              </w:rPr>
            </w:pPr>
            <w:r w:rsidRPr="009E027D">
              <w:rPr>
                <w:b/>
                <w:bCs/>
                <w:color w:val="365F91" w:themeColor="accent1" w:themeShade="BF"/>
                <w:sz w:val="22"/>
                <w:szCs w:val="22"/>
              </w:rPr>
              <w:t>Appro</w:t>
            </w:r>
            <w:r>
              <w:rPr>
                <w:b/>
                <w:bCs/>
                <w:color w:val="365F91" w:themeColor="accent1" w:themeShade="BF"/>
                <w:sz w:val="22"/>
                <w:szCs w:val="22"/>
              </w:rPr>
              <w:t>ved</w:t>
            </w:r>
            <w:r w:rsidRPr="009E027D">
              <w:rPr>
                <w:b/>
                <w:bCs/>
                <w:color w:val="365F91" w:themeColor="accent1" w:themeShade="BF"/>
                <w:sz w:val="22"/>
                <w:szCs w:val="22"/>
              </w:rPr>
              <w:t xml:space="preserve"> By:</w:t>
            </w:r>
          </w:p>
        </w:tc>
        <w:tc>
          <w:tcPr>
            <w:tcW w:w="6384" w:type="dxa"/>
          </w:tcPr>
          <w:p w14:paraId="54B0C907" w14:textId="1A2D2444" w:rsidR="00F06FD8" w:rsidRPr="00505F91" w:rsidRDefault="00DA2237" w:rsidP="00F06FD8">
            <w:pPr>
              <w:spacing w:before="60" w:after="60"/>
              <w:rPr>
                <w:sz w:val="22"/>
                <w:szCs w:val="22"/>
              </w:rPr>
            </w:pPr>
            <w:r>
              <w:rPr>
                <w:sz w:val="22"/>
                <w:szCs w:val="22"/>
              </w:rPr>
              <w:t>Commissioning Committee</w:t>
            </w:r>
          </w:p>
        </w:tc>
      </w:tr>
      <w:tr w:rsidR="00F06FD8" w:rsidRPr="00676D86" w14:paraId="1550A3D1" w14:textId="77777777" w:rsidTr="00F06FD8">
        <w:tc>
          <w:tcPr>
            <w:tcW w:w="2405" w:type="dxa"/>
            <w:shd w:val="clear" w:color="auto" w:fill="F2F2F2" w:themeFill="background1" w:themeFillShade="F2"/>
          </w:tcPr>
          <w:p w14:paraId="7B398C5B" w14:textId="77777777" w:rsidR="00F06FD8" w:rsidRPr="009E027D" w:rsidRDefault="00F06FD8" w:rsidP="00F06FD8">
            <w:pPr>
              <w:spacing w:before="60" w:after="60"/>
              <w:rPr>
                <w:b/>
                <w:bCs/>
                <w:color w:val="365F91" w:themeColor="accent1" w:themeShade="BF"/>
                <w:sz w:val="22"/>
                <w:szCs w:val="22"/>
              </w:rPr>
            </w:pPr>
            <w:r w:rsidRPr="009E027D">
              <w:rPr>
                <w:b/>
                <w:bCs/>
                <w:color w:val="365F91" w:themeColor="accent1" w:themeShade="BF"/>
                <w:sz w:val="22"/>
                <w:szCs w:val="22"/>
              </w:rPr>
              <w:t>Date of Approval:</w:t>
            </w:r>
          </w:p>
        </w:tc>
        <w:tc>
          <w:tcPr>
            <w:tcW w:w="6384" w:type="dxa"/>
          </w:tcPr>
          <w:p w14:paraId="69CA69FB" w14:textId="680B841A" w:rsidR="00F06FD8" w:rsidRPr="00EC3598" w:rsidRDefault="0054626B" w:rsidP="00F06FD8">
            <w:pPr>
              <w:spacing w:before="60" w:after="60"/>
              <w:rPr>
                <w:sz w:val="22"/>
                <w:szCs w:val="22"/>
              </w:rPr>
            </w:pPr>
            <w:r>
              <w:rPr>
                <w:sz w:val="22"/>
                <w:szCs w:val="22"/>
              </w:rPr>
              <w:t>July 2022</w:t>
            </w:r>
          </w:p>
        </w:tc>
      </w:tr>
      <w:tr w:rsidR="00F06FD8" w:rsidRPr="00676D86" w14:paraId="72978CCD" w14:textId="77777777" w:rsidTr="00F06FD8">
        <w:tc>
          <w:tcPr>
            <w:tcW w:w="2405" w:type="dxa"/>
            <w:shd w:val="clear" w:color="auto" w:fill="F2F2F2" w:themeFill="background1" w:themeFillShade="F2"/>
          </w:tcPr>
          <w:p w14:paraId="51A95667" w14:textId="77777777" w:rsidR="00F06FD8" w:rsidRPr="009E027D" w:rsidRDefault="00F06FD8" w:rsidP="00F06FD8">
            <w:pPr>
              <w:spacing w:before="60" w:after="60"/>
              <w:rPr>
                <w:b/>
                <w:bCs/>
                <w:color w:val="365F91" w:themeColor="accent1" w:themeShade="BF"/>
                <w:sz w:val="22"/>
                <w:szCs w:val="22"/>
              </w:rPr>
            </w:pPr>
            <w:r w:rsidRPr="009E027D">
              <w:rPr>
                <w:b/>
                <w:bCs/>
                <w:color w:val="365F91" w:themeColor="accent1" w:themeShade="BF"/>
                <w:sz w:val="22"/>
                <w:szCs w:val="22"/>
              </w:rPr>
              <w:t>Date of Review:</w:t>
            </w:r>
          </w:p>
        </w:tc>
        <w:tc>
          <w:tcPr>
            <w:tcW w:w="6384" w:type="dxa"/>
          </w:tcPr>
          <w:p w14:paraId="68648036" w14:textId="372161CB" w:rsidR="00F06FD8" w:rsidRPr="00EC3598" w:rsidRDefault="0054626B" w:rsidP="00F06FD8">
            <w:pPr>
              <w:spacing w:before="60" w:after="60"/>
              <w:rPr>
                <w:sz w:val="22"/>
                <w:szCs w:val="22"/>
              </w:rPr>
            </w:pPr>
            <w:r>
              <w:rPr>
                <w:sz w:val="22"/>
                <w:szCs w:val="22"/>
              </w:rPr>
              <w:t>July 2024</w:t>
            </w:r>
          </w:p>
        </w:tc>
      </w:tr>
    </w:tbl>
    <w:p w14:paraId="116FD6BE" w14:textId="79A10CAB" w:rsidR="009E027D" w:rsidRDefault="009E027D" w:rsidP="00676D86">
      <w:pPr>
        <w:keepNext/>
        <w:keepLines/>
        <w:overflowPunct w:val="0"/>
        <w:autoSpaceDE w:val="0"/>
        <w:autoSpaceDN w:val="0"/>
        <w:adjustRightInd w:val="0"/>
        <w:ind w:left="-142" w:right="-99"/>
        <w:jc w:val="both"/>
        <w:textAlignment w:val="baseline"/>
        <w:rPr>
          <w:i/>
          <w:iCs/>
          <w:sz w:val="22"/>
          <w:szCs w:val="22"/>
        </w:rPr>
      </w:pPr>
    </w:p>
    <w:p w14:paraId="327001A5" w14:textId="0DFBE4CC" w:rsidR="009A133D" w:rsidRDefault="009A133D" w:rsidP="00676D86">
      <w:pPr>
        <w:keepNext/>
        <w:keepLines/>
        <w:overflowPunct w:val="0"/>
        <w:autoSpaceDE w:val="0"/>
        <w:autoSpaceDN w:val="0"/>
        <w:adjustRightInd w:val="0"/>
        <w:ind w:left="-142" w:right="-99"/>
        <w:jc w:val="both"/>
        <w:textAlignment w:val="baseline"/>
        <w:rPr>
          <w:i/>
          <w:iCs/>
          <w:sz w:val="22"/>
          <w:szCs w:val="22"/>
        </w:rPr>
      </w:pPr>
    </w:p>
    <w:p w14:paraId="13850F06" w14:textId="729E1365" w:rsidR="009A133D" w:rsidRDefault="009A133D" w:rsidP="00676D86">
      <w:pPr>
        <w:keepNext/>
        <w:keepLines/>
        <w:overflowPunct w:val="0"/>
        <w:autoSpaceDE w:val="0"/>
        <w:autoSpaceDN w:val="0"/>
        <w:adjustRightInd w:val="0"/>
        <w:ind w:left="-142" w:right="-99"/>
        <w:jc w:val="both"/>
        <w:textAlignment w:val="baseline"/>
        <w:rPr>
          <w:i/>
          <w:iCs/>
          <w:sz w:val="22"/>
          <w:szCs w:val="22"/>
        </w:rPr>
      </w:pPr>
    </w:p>
    <w:p w14:paraId="355B0F11" w14:textId="015DBEF2" w:rsidR="009A133D" w:rsidRDefault="009A133D" w:rsidP="00676D86">
      <w:pPr>
        <w:keepNext/>
        <w:keepLines/>
        <w:overflowPunct w:val="0"/>
        <w:autoSpaceDE w:val="0"/>
        <w:autoSpaceDN w:val="0"/>
        <w:adjustRightInd w:val="0"/>
        <w:ind w:left="-142" w:right="-99"/>
        <w:jc w:val="both"/>
        <w:textAlignment w:val="baseline"/>
        <w:rPr>
          <w:i/>
          <w:iCs/>
          <w:sz w:val="22"/>
          <w:szCs w:val="22"/>
        </w:rPr>
      </w:pPr>
    </w:p>
    <w:p w14:paraId="0472ED22" w14:textId="77777777" w:rsidR="009A133D" w:rsidRPr="00676D86" w:rsidRDefault="009A133D" w:rsidP="00676D86">
      <w:pPr>
        <w:keepNext/>
        <w:keepLines/>
        <w:overflowPunct w:val="0"/>
        <w:autoSpaceDE w:val="0"/>
        <w:autoSpaceDN w:val="0"/>
        <w:adjustRightInd w:val="0"/>
        <w:ind w:left="-142" w:right="-99"/>
        <w:jc w:val="both"/>
        <w:textAlignment w:val="baseline"/>
        <w:rPr>
          <w:i/>
          <w:iCs/>
          <w:sz w:val="22"/>
          <w:szCs w:val="22"/>
        </w:rPr>
      </w:pPr>
    </w:p>
    <w:p w14:paraId="5CCDFFF2" w14:textId="77777777" w:rsidR="002A463D" w:rsidRDefault="002A463D">
      <w:pPr>
        <w:rPr>
          <w:color w:val="365F91" w:themeColor="accent1" w:themeShade="BF"/>
          <w:sz w:val="22"/>
          <w:szCs w:val="22"/>
        </w:rPr>
      </w:pPr>
    </w:p>
    <w:p w14:paraId="45FDD1EC" w14:textId="65E0DFD9" w:rsidR="00600D61" w:rsidRDefault="00600D61">
      <w:pPr>
        <w:rPr>
          <w:b/>
          <w:bCs/>
          <w:color w:val="365F91" w:themeColor="accent1" w:themeShade="BF"/>
          <w:sz w:val="22"/>
          <w:szCs w:val="22"/>
        </w:rPr>
      </w:pPr>
    </w:p>
    <w:p w14:paraId="2FEE9F43" w14:textId="77777777" w:rsidR="006A6C78" w:rsidRDefault="006A6C78" w:rsidP="00676D86">
      <w:pPr>
        <w:tabs>
          <w:tab w:val="left" w:pos="3090"/>
        </w:tabs>
        <w:spacing w:before="46"/>
        <w:ind w:left="383"/>
        <w:rPr>
          <w:b/>
          <w:sz w:val="22"/>
          <w:szCs w:val="22"/>
        </w:rPr>
      </w:pPr>
    </w:p>
    <w:p w14:paraId="4498FCCD" w14:textId="21B29718" w:rsidR="006A6C78" w:rsidRDefault="006A6C78" w:rsidP="00676D86">
      <w:pPr>
        <w:tabs>
          <w:tab w:val="left" w:pos="3090"/>
        </w:tabs>
        <w:spacing w:before="46"/>
        <w:ind w:left="383"/>
        <w:rPr>
          <w:b/>
          <w:sz w:val="22"/>
          <w:szCs w:val="22"/>
        </w:rPr>
      </w:pPr>
    </w:p>
    <w:p w14:paraId="5B5B2B3D" w14:textId="5396B3DA" w:rsidR="009A133D" w:rsidRDefault="009A133D" w:rsidP="00676D86">
      <w:pPr>
        <w:tabs>
          <w:tab w:val="left" w:pos="3090"/>
        </w:tabs>
        <w:spacing w:before="46"/>
        <w:ind w:left="383"/>
        <w:rPr>
          <w:b/>
          <w:sz w:val="22"/>
          <w:szCs w:val="22"/>
        </w:rPr>
      </w:pPr>
    </w:p>
    <w:p w14:paraId="577E933A" w14:textId="2DE2FA87" w:rsidR="009A133D" w:rsidRDefault="009A133D" w:rsidP="00676D86">
      <w:pPr>
        <w:tabs>
          <w:tab w:val="left" w:pos="3090"/>
        </w:tabs>
        <w:spacing w:before="46"/>
        <w:ind w:left="383"/>
        <w:rPr>
          <w:b/>
          <w:sz w:val="22"/>
          <w:szCs w:val="22"/>
        </w:rPr>
      </w:pPr>
    </w:p>
    <w:p w14:paraId="77B1DA71" w14:textId="7D16133D" w:rsidR="009A133D" w:rsidRDefault="009A133D" w:rsidP="00676D86">
      <w:pPr>
        <w:tabs>
          <w:tab w:val="left" w:pos="3090"/>
        </w:tabs>
        <w:spacing w:before="46"/>
        <w:ind w:left="383"/>
        <w:rPr>
          <w:b/>
          <w:sz w:val="22"/>
          <w:szCs w:val="22"/>
        </w:rPr>
      </w:pPr>
    </w:p>
    <w:p w14:paraId="52ED0478" w14:textId="69D14C6D" w:rsidR="009A133D" w:rsidRDefault="009A133D" w:rsidP="00676D86">
      <w:pPr>
        <w:tabs>
          <w:tab w:val="left" w:pos="3090"/>
        </w:tabs>
        <w:spacing w:before="46"/>
        <w:ind w:left="383"/>
        <w:rPr>
          <w:b/>
          <w:sz w:val="22"/>
          <w:szCs w:val="22"/>
        </w:rPr>
      </w:pPr>
    </w:p>
    <w:p w14:paraId="1D6DF3D3" w14:textId="1E2FB3A8" w:rsidR="009A133D" w:rsidRDefault="009A133D" w:rsidP="00F06FD8">
      <w:pPr>
        <w:tabs>
          <w:tab w:val="left" w:pos="3090"/>
        </w:tabs>
        <w:spacing w:before="46"/>
        <w:ind w:left="383" w:firstLine="720"/>
        <w:rPr>
          <w:b/>
          <w:sz w:val="22"/>
          <w:szCs w:val="22"/>
        </w:rPr>
      </w:pPr>
    </w:p>
    <w:p w14:paraId="16083398" w14:textId="77777777" w:rsidR="00505F91" w:rsidRDefault="00505F91" w:rsidP="00F06FD8">
      <w:pPr>
        <w:spacing w:after="200" w:line="276" w:lineRule="auto"/>
        <w:rPr>
          <w:rFonts w:eastAsiaTheme="minorHAnsi"/>
          <w:b/>
          <w:bCs/>
          <w:color w:val="365F91" w:themeColor="accent1" w:themeShade="BF"/>
          <w:sz w:val="22"/>
          <w:szCs w:val="22"/>
          <w:lang w:eastAsia="en-US"/>
        </w:rPr>
      </w:pPr>
    </w:p>
    <w:p w14:paraId="4726C19A" w14:textId="52ABB40F" w:rsidR="0054626B" w:rsidRPr="0054626B" w:rsidRDefault="0054626B" w:rsidP="0054626B">
      <w:pPr>
        <w:tabs>
          <w:tab w:val="left" w:pos="2000"/>
        </w:tabs>
        <w:rPr>
          <w:b/>
          <w:bCs/>
          <w:color w:val="365F91" w:themeColor="accent1" w:themeShade="BF"/>
        </w:rPr>
      </w:pPr>
      <w:r w:rsidRPr="0054626B">
        <w:rPr>
          <w:b/>
          <w:bCs/>
          <w:color w:val="365F91" w:themeColor="accent1" w:themeShade="BF"/>
        </w:rPr>
        <w:lastRenderedPageBreak/>
        <w:t>Policy: Scar Revision</w:t>
      </w:r>
    </w:p>
    <w:p w14:paraId="20278FDF" w14:textId="77777777" w:rsidR="0054626B" w:rsidRPr="0054626B" w:rsidRDefault="0054626B" w:rsidP="0054626B">
      <w:pPr>
        <w:tabs>
          <w:tab w:val="left" w:pos="2000"/>
        </w:tabs>
        <w:rPr>
          <w:b/>
          <w:bCs/>
          <w:color w:val="365F91" w:themeColor="accent1" w:themeShade="BF"/>
        </w:rPr>
      </w:pPr>
    </w:p>
    <w:p w14:paraId="34DDFFEC" w14:textId="77777777" w:rsidR="0054626B" w:rsidRPr="0054626B" w:rsidRDefault="0054626B" w:rsidP="0054626B">
      <w:pPr>
        <w:pStyle w:val="ListParagraph"/>
        <w:numPr>
          <w:ilvl w:val="0"/>
          <w:numId w:val="13"/>
        </w:numPr>
        <w:spacing w:after="200" w:line="276" w:lineRule="auto"/>
        <w:ind w:left="720"/>
        <w:rPr>
          <w:b/>
          <w:bCs/>
          <w:color w:val="365F91" w:themeColor="accent1" w:themeShade="BF"/>
        </w:rPr>
      </w:pPr>
      <w:r w:rsidRPr="0054626B">
        <w:rPr>
          <w:b/>
          <w:bCs/>
          <w:color w:val="365F91" w:themeColor="accent1" w:themeShade="BF"/>
        </w:rPr>
        <w:t>Introduction</w:t>
      </w:r>
    </w:p>
    <w:p w14:paraId="43AFC572" w14:textId="0D2C0382" w:rsidR="0054626B" w:rsidRDefault="0054626B" w:rsidP="0054626B">
      <w:r w:rsidRPr="004E64D6">
        <w:t>A scar is a mark that is left on the skin, after a wound or an injury to the surface of the skin has healed. Scarring on the skin is a natural process that can occur after a cut or injury, for example after a surgical procedure or burns. Scars form when collagen accumulates around the site of the wound or injury to heal the site. Scars are permanent but can fade over the proceeding 2 years. Treatment such as surgical revision or refashioning can be performed to minimise the appearance of the scars.</w:t>
      </w:r>
    </w:p>
    <w:p w14:paraId="6C8F5C1A" w14:textId="77777777" w:rsidR="0054626B" w:rsidRDefault="0054626B" w:rsidP="0054626B"/>
    <w:p w14:paraId="49366F8B" w14:textId="77777777" w:rsidR="0054626B" w:rsidRPr="0054626B" w:rsidRDefault="0054626B" w:rsidP="0054626B">
      <w:pPr>
        <w:pStyle w:val="ListParagraph"/>
        <w:numPr>
          <w:ilvl w:val="0"/>
          <w:numId w:val="13"/>
        </w:numPr>
        <w:spacing w:after="200" w:line="276" w:lineRule="auto"/>
        <w:ind w:left="720"/>
        <w:rPr>
          <w:b/>
          <w:bCs/>
          <w:color w:val="365F91" w:themeColor="accent1" w:themeShade="BF"/>
        </w:rPr>
      </w:pPr>
      <w:r w:rsidRPr="0054626B">
        <w:rPr>
          <w:b/>
          <w:bCs/>
          <w:color w:val="365F91" w:themeColor="accent1" w:themeShade="BF"/>
        </w:rPr>
        <w:t>Content</w:t>
      </w:r>
    </w:p>
    <w:p w14:paraId="48620C20" w14:textId="77777777" w:rsidR="0054626B" w:rsidRPr="00135E0D" w:rsidRDefault="0054626B" w:rsidP="0054626B">
      <w:r w:rsidRPr="00135E0D">
        <w:t>Scar revision or refashioning is not routinely commissioned except for adults and children with:</w:t>
      </w:r>
    </w:p>
    <w:p w14:paraId="7477FF4A" w14:textId="77777777" w:rsidR="0054626B" w:rsidRPr="00135E0D" w:rsidRDefault="0054626B" w:rsidP="0054626B">
      <w:pPr>
        <w:pStyle w:val="ListParagraph"/>
        <w:numPr>
          <w:ilvl w:val="0"/>
          <w:numId w:val="14"/>
        </w:numPr>
        <w:spacing w:after="160" w:line="259" w:lineRule="auto"/>
      </w:pPr>
      <w:r w:rsidRPr="00135E0D">
        <w:t>Scars that interfere with function - for example, severe post-surgical scars or those following burns or trauma resulting in physical disability due to contraction, tethering or recurrent breakdown (i.e. not cosmetic</w:t>
      </w:r>
      <w:proofErr w:type="gramStart"/>
      <w:r w:rsidRPr="00135E0D">
        <w:t>);</w:t>
      </w:r>
      <w:proofErr w:type="gramEnd"/>
      <w:r w:rsidRPr="00135E0D">
        <w:t xml:space="preserve"> </w:t>
      </w:r>
    </w:p>
    <w:p w14:paraId="3A89A7A7" w14:textId="77777777" w:rsidR="0054626B" w:rsidRPr="00135E0D" w:rsidRDefault="0054626B" w:rsidP="0054626B">
      <w:pPr>
        <w:pStyle w:val="ListParagraph"/>
      </w:pPr>
      <w:r w:rsidRPr="00135E0D">
        <w:t xml:space="preserve">OR </w:t>
      </w:r>
    </w:p>
    <w:p w14:paraId="4DF18F8D" w14:textId="77777777" w:rsidR="0054626B" w:rsidRPr="00135E0D" w:rsidRDefault="0054626B" w:rsidP="0054626B">
      <w:pPr>
        <w:pStyle w:val="ListParagraph"/>
        <w:numPr>
          <w:ilvl w:val="0"/>
          <w:numId w:val="14"/>
        </w:numPr>
        <w:spacing w:after="160" w:line="259" w:lineRule="auto"/>
      </w:pPr>
      <w:r w:rsidRPr="00135E0D">
        <w:t>Serious scarring of the face, including:</w:t>
      </w:r>
    </w:p>
    <w:p w14:paraId="471D04EA" w14:textId="77777777" w:rsidR="0054626B" w:rsidRPr="00135E0D" w:rsidRDefault="0054626B" w:rsidP="0054626B">
      <w:pPr>
        <w:pStyle w:val="ListParagraph"/>
        <w:numPr>
          <w:ilvl w:val="1"/>
          <w:numId w:val="15"/>
        </w:numPr>
        <w:spacing w:after="160" w:line="259" w:lineRule="auto"/>
      </w:pPr>
      <w:r w:rsidRPr="00135E0D">
        <w:t>Significant keloid scarring</w:t>
      </w:r>
    </w:p>
    <w:p w14:paraId="3F52660A" w14:textId="77777777" w:rsidR="0054626B" w:rsidRPr="00135E0D" w:rsidRDefault="0054626B" w:rsidP="0054626B">
      <w:pPr>
        <w:pStyle w:val="ListParagraph"/>
        <w:numPr>
          <w:ilvl w:val="1"/>
          <w:numId w:val="15"/>
        </w:numPr>
        <w:spacing w:after="160" w:line="259" w:lineRule="auto"/>
      </w:pPr>
      <w:r w:rsidRPr="00135E0D">
        <w:t xml:space="preserve">Scars that are </w:t>
      </w:r>
      <w:proofErr w:type="gramStart"/>
      <w:r w:rsidRPr="00135E0D">
        <w:t>ragged, or</w:t>
      </w:r>
      <w:proofErr w:type="gramEnd"/>
      <w:r w:rsidRPr="00135E0D">
        <w:t xml:space="preserve"> can otherwise be regarded as particularly disfiguring.</w:t>
      </w:r>
    </w:p>
    <w:p w14:paraId="57217016" w14:textId="77777777" w:rsidR="0054626B" w:rsidRPr="00135E0D" w:rsidRDefault="0054626B" w:rsidP="0054626B">
      <w:pPr>
        <w:pStyle w:val="ListParagraph"/>
      </w:pPr>
      <w:r w:rsidRPr="00135E0D">
        <w:t>OR</w:t>
      </w:r>
    </w:p>
    <w:p w14:paraId="38D5EFC2" w14:textId="54C09B45" w:rsidR="0054626B" w:rsidRDefault="0054626B" w:rsidP="0054626B">
      <w:pPr>
        <w:pStyle w:val="ListParagraph"/>
        <w:numPr>
          <w:ilvl w:val="0"/>
          <w:numId w:val="15"/>
        </w:numPr>
        <w:spacing w:after="160" w:line="259" w:lineRule="auto"/>
      </w:pPr>
      <w:r w:rsidRPr="00135E0D">
        <w:t>Keloid scars that result in physical distress due to significant pain or pruritis.</w:t>
      </w:r>
    </w:p>
    <w:p w14:paraId="7C1198A1" w14:textId="77777777" w:rsidR="0054626B" w:rsidRPr="00135E0D" w:rsidRDefault="0054626B" w:rsidP="0054626B">
      <w:pPr>
        <w:pStyle w:val="ListParagraph"/>
        <w:spacing w:after="160" w:line="259" w:lineRule="auto"/>
      </w:pPr>
    </w:p>
    <w:p w14:paraId="6241106A" w14:textId="69B0E736" w:rsidR="0054626B" w:rsidRDefault="0054626B" w:rsidP="0054626B">
      <w:pPr>
        <w:pStyle w:val="ListParagraph"/>
        <w:numPr>
          <w:ilvl w:val="0"/>
          <w:numId w:val="15"/>
        </w:numPr>
      </w:pPr>
      <w:r w:rsidRPr="00135E0D">
        <w:t>All requests for funding will need to be supported by photographic evidence.</w:t>
      </w:r>
    </w:p>
    <w:p w14:paraId="024E485D" w14:textId="77777777" w:rsidR="0054626B" w:rsidRDefault="0054626B" w:rsidP="0054626B">
      <w:pPr>
        <w:pStyle w:val="ListParagraph"/>
      </w:pPr>
    </w:p>
    <w:p w14:paraId="7B9975D7" w14:textId="7B8CD514" w:rsidR="0054626B" w:rsidRPr="0054626B" w:rsidRDefault="0054626B" w:rsidP="0054626B">
      <w:pPr>
        <w:pStyle w:val="ListParagraph"/>
        <w:numPr>
          <w:ilvl w:val="0"/>
          <w:numId w:val="15"/>
        </w:numPr>
      </w:pPr>
      <w:r w:rsidRPr="0054626B">
        <w:t xml:space="preserve">Scar revision will only be offered after 2 years to allow the natural healing process to complete. </w:t>
      </w:r>
    </w:p>
    <w:p w14:paraId="64D761D1" w14:textId="77777777" w:rsidR="0054626B" w:rsidRDefault="0054626B" w:rsidP="0054626B">
      <w:pPr>
        <w:rPr>
          <w:b/>
          <w:bCs/>
          <w:u w:val="single"/>
        </w:rPr>
      </w:pPr>
    </w:p>
    <w:p w14:paraId="025BB14F" w14:textId="494AAC0C" w:rsidR="0054626B" w:rsidRPr="00135E0D" w:rsidRDefault="0054626B" w:rsidP="0054626B">
      <w:r w:rsidRPr="00135E0D">
        <w:t xml:space="preserve">Cosmetic scar revision for scars not on the face, including keloid scars, will not be funded unless the disfigurement can be regarded as particularly grave. Cases will be assessed on an individual basis via Individual Funding Request. </w:t>
      </w:r>
    </w:p>
    <w:p w14:paraId="12ADD049" w14:textId="77777777" w:rsidR="0054626B" w:rsidRPr="00135E0D" w:rsidRDefault="0054626B" w:rsidP="0054626B">
      <w:r w:rsidRPr="00135E0D">
        <w:t>Keloid scars secondary to body piercing procedures will not normally be funded.</w:t>
      </w:r>
    </w:p>
    <w:p w14:paraId="17A634FF" w14:textId="77777777" w:rsidR="0054626B" w:rsidRDefault="0054626B" w:rsidP="0054626B"/>
    <w:p w14:paraId="311C36EC" w14:textId="5B1B0173" w:rsidR="0054626B" w:rsidRDefault="0054626B" w:rsidP="0054626B">
      <w:r w:rsidRPr="00135E0D">
        <w:t>Where scars meet the criteria above and are the result of self-harm, treatment will only be funded when there has been a minimum period of three years where there has been no self-harm and where there is a supporting report from a psychiatrist or psychologist indicating that the behaviour would be unlikely to recur. It should be note</w:t>
      </w:r>
      <w:r w:rsidR="00CF572D">
        <w:t>d</w:t>
      </w:r>
      <w:r w:rsidRPr="00135E0D">
        <w:t xml:space="preserve"> that these scars are very difficult to treat and usually the only achievable outcome is to make the scars resemble trauma or burns rather than be obviously due to self</w:t>
      </w:r>
      <w:r>
        <w:t>-</w:t>
      </w:r>
      <w:r w:rsidRPr="00135E0D">
        <w:t>harm.</w:t>
      </w:r>
    </w:p>
    <w:p w14:paraId="18DEF371" w14:textId="77777777" w:rsidR="0054626B" w:rsidRPr="00135E0D" w:rsidRDefault="0054626B" w:rsidP="0054626B">
      <w:pPr>
        <w:rPr>
          <w:b/>
          <w:bCs/>
        </w:rPr>
      </w:pPr>
    </w:p>
    <w:p w14:paraId="6297ABEC" w14:textId="77777777" w:rsidR="0054626B" w:rsidRDefault="0054626B" w:rsidP="0054626B">
      <w:pPr>
        <w:widowControl w:val="0"/>
        <w:tabs>
          <w:tab w:val="left" w:pos="2000"/>
        </w:tabs>
        <w:rPr>
          <w:b/>
          <w:lang w:val="en-US"/>
        </w:rPr>
      </w:pPr>
      <w:r>
        <w:rPr>
          <w:b/>
          <w:lang w:val="en-US"/>
        </w:rPr>
        <w:t>Patients who are not eligible for treatment under this policy may be considered on an individual basis where their GP or consultant believes exceptional circumstances exist that warrant deviation from the rule of this policy. Individual cases will be reviewed as per the ICB policy.</w:t>
      </w:r>
    </w:p>
    <w:p w14:paraId="43EE8114" w14:textId="77777777" w:rsidR="007E7927" w:rsidRDefault="007E7927" w:rsidP="00F06FD8">
      <w:pPr>
        <w:tabs>
          <w:tab w:val="left" w:pos="3090"/>
        </w:tabs>
        <w:spacing w:before="46"/>
        <w:rPr>
          <w:rFonts w:eastAsiaTheme="minorHAnsi"/>
          <w:b/>
          <w:bCs/>
          <w:color w:val="365F91" w:themeColor="accent1" w:themeShade="BF"/>
          <w:u w:val="single"/>
          <w:lang w:eastAsia="en-US"/>
        </w:rPr>
      </w:pPr>
    </w:p>
    <w:p w14:paraId="014E8FBA" w14:textId="77777777" w:rsidR="007E7927" w:rsidRDefault="007E7927" w:rsidP="00F06FD8">
      <w:pPr>
        <w:tabs>
          <w:tab w:val="left" w:pos="3090"/>
        </w:tabs>
        <w:spacing w:before="46"/>
        <w:rPr>
          <w:rFonts w:eastAsiaTheme="minorHAnsi"/>
          <w:b/>
          <w:bCs/>
          <w:color w:val="365F91" w:themeColor="accent1" w:themeShade="BF"/>
          <w:u w:val="single"/>
          <w:lang w:eastAsia="en-US"/>
        </w:rPr>
      </w:pPr>
    </w:p>
    <w:p w14:paraId="7025A184" w14:textId="77777777" w:rsidR="007E7927" w:rsidRDefault="007E7927" w:rsidP="00F06FD8">
      <w:pPr>
        <w:tabs>
          <w:tab w:val="left" w:pos="3090"/>
        </w:tabs>
        <w:spacing w:before="46"/>
        <w:rPr>
          <w:rFonts w:eastAsiaTheme="minorHAnsi"/>
          <w:b/>
          <w:bCs/>
          <w:color w:val="365F91" w:themeColor="accent1" w:themeShade="BF"/>
          <w:u w:val="single"/>
          <w:lang w:eastAsia="en-US"/>
        </w:rPr>
      </w:pPr>
    </w:p>
    <w:p w14:paraId="44D246C8" w14:textId="77777777" w:rsidR="007E7927" w:rsidRDefault="007E7927" w:rsidP="00F06FD8">
      <w:pPr>
        <w:tabs>
          <w:tab w:val="left" w:pos="3090"/>
        </w:tabs>
        <w:spacing w:before="46"/>
        <w:rPr>
          <w:rFonts w:eastAsiaTheme="minorHAnsi"/>
          <w:b/>
          <w:bCs/>
          <w:color w:val="365F91" w:themeColor="accent1" w:themeShade="BF"/>
          <w:u w:val="single"/>
          <w:lang w:eastAsia="en-US"/>
        </w:rPr>
      </w:pPr>
    </w:p>
    <w:p w14:paraId="62D64631" w14:textId="6EB22F6C" w:rsidR="006A6C78" w:rsidRDefault="006A6C78" w:rsidP="00F06FD8">
      <w:pPr>
        <w:tabs>
          <w:tab w:val="left" w:pos="3090"/>
        </w:tabs>
        <w:spacing w:before="46"/>
        <w:rPr>
          <w:b/>
          <w:bCs/>
          <w:color w:val="365F91" w:themeColor="accent1" w:themeShade="BF"/>
          <w:sz w:val="22"/>
          <w:szCs w:val="22"/>
        </w:rPr>
      </w:pPr>
      <w:r w:rsidRPr="00F06FD8">
        <w:rPr>
          <w:b/>
          <w:bCs/>
          <w:color w:val="365F91" w:themeColor="accent1" w:themeShade="BF"/>
          <w:sz w:val="22"/>
          <w:szCs w:val="22"/>
        </w:rPr>
        <w:t>Change History:</w:t>
      </w:r>
    </w:p>
    <w:p w14:paraId="717E460B" w14:textId="77777777" w:rsidR="00F06FD8" w:rsidRPr="00F06FD8" w:rsidRDefault="00F06FD8" w:rsidP="00F06FD8">
      <w:pPr>
        <w:tabs>
          <w:tab w:val="left" w:pos="3090"/>
        </w:tabs>
        <w:spacing w:before="46"/>
        <w:rPr>
          <w:b/>
          <w:bCs/>
          <w:color w:val="FF0000"/>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01"/>
        <w:gridCol w:w="2694"/>
        <w:gridCol w:w="4281"/>
      </w:tblGrid>
      <w:tr w:rsidR="006A6C78" w:rsidRPr="005058F3" w14:paraId="3BC44ED1" w14:textId="77777777" w:rsidTr="00EC3598">
        <w:trPr>
          <w:trHeight w:val="467"/>
        </w:trPr>
        <w:tc>
          <w:tcPr>
            <w:tcW w:w="1134" w:type="dxa"/>
            <w:shd w:val="clear" w:color="auto" w:fill="F2F2F2" w:themeFill="background1" w:themeFillShade="F2"/>
          </w:tcPr>
          <w:p w14:paraId="514FAFC0" w14:textId="1C7B61D3" w:rsidR="006A6C78" w:rsidRPr="009E027D" w:rsidRDefault="006A6C78" w:rsidP="00A53450">
            <w:pPr>
              <w:spacing w:before="60" w:after="60"/>
              <w:jc w:val="both"/>
              <w:rPr>
                <w:b/>
                <w:bCs/>
                <w:color w:val="365F91" w:themeColor="accent1" w:themeShade="BF"/>
                <w:sz w:val="22"/>
                <w:szCs w:val="22"/>
              </w:rPr>
            </w:pPr>
            <w:r w:rsidRPr="009E027D">
              <w:rPr>
                <w:b/>
                <w:bCs/>
                <w:color w:val="365F91" w:themeColor="accent1" w:themeShade="BF"/>
                <w:sz w:val="22"/>
                <w:szCs w:val="22"/>
              </w:rPr>
              <w:t>Version</w:t>
            </w:r>
          </w:p>
        </w:tc>
        <w:tc>
          <w:tcPr>
            <w:tcW w:w="1701" w:type="dxa"/>
            <w:shd w:val="clear" w:color="auto" w:fill="F2F2F2" w:themeFill="background1" w:themeFillShade="F2"/>
          </w:tcPr>
          <w:p w14:paraId="791637E8" w14:textId="77777777" w:rsidR="006A6C78" w:rsidRPr="009E027D" w:rsidRDefault="006A6C78" w:rsidP="00A53450">
            <w:pPr>
              <w:spacing w:before="60" w:after="60"/>
              <w:jc w:val="both"/>
              <w:rPr>
                <w:b/>
                <w:bCs/>
                <w:color w:val="365F91" w:themeColor="accent1" w:themeShade="BF"/>
                <w:sz w:val="22"/>
                <w:szCs w:val="22"/>
              </w:rPr>
            </w:pPr>
            <w:r w:rsidRPr="009E027D">
              <w:rPr>
                <w:b/>
                <w:bCs/>
                <w:color w:val="365F91" w:themeColor="accent1" w:themeShade="BF"/>
                <w:sz w:val="22"/>
                <w:szCs w:val="22"/>
              </w:rPr>
              <w:t>Date</w:t>
            </w:r>
          </w:p>
        </w:tc>
        <w:tc>
          <w:tcPr>
            <w:tcW w:w="2694" w:type="dxa"/>
            <w:shd w:val="clear" w:color="auto" w:fill="F2F2F2" w:themeFill="background1" w:themeFillShade="F2"/>
          </w:tcPr>
          <w:p w14:paraId="646BB358" w14:textId="77777777" w:rsidR="006A6C78" w:rsidRPr="009E027D" w:rsidRDefault="006A6C78" w:rsidP="00A53450">
            <w:pPr>
              <w:spacing w:before="60" w:after="60"/>
              <w:jc w:val="both"/>
              <w:rPr>
                <w:b/>
                <w:bCs/>
                <w:color w:val="365F91" w:themeColor="accent1" w:themeShade="BF"/>
                <w:sz w:val="22"/>
                <w:szCs w:val="22"/>
              </w:rPr>
            </w:pPr>
            <w:r w:rsidRPr="009E027D">
              <w:rPr>
                <w:b/>
                <w:bCs/>
                <w:color w:val="365F91" w:themeColor="accent1" w:themeShade="BF"/>
                <w:sz w:val="22"/>
                <w:szCs w:val="22"/>
              </w:rPr>
              <w:t>Reviewer(s)</w:t>
            </w:r>
          </w:p>
        </w:tc>
        <w:tc>
          <w:tcPr>
            <w:tcW w:w="4281" w:type="dxa"/>
            <w:shd w:val="clear" w:color="auto" w:fill="F2F2F2" w:themeFill="background1" w:themeFillShade="F2"/>
          </w:tcPr>
          <w:p w14:paraId="12CC1EBF" w14:textId="77777777" w:rsidR="006A6C78" w:rsidRPr="009E027D" w:rsidRDefault="006A6C78" w:rsidP="00A53450">
            <w:pPr>
              <w:spacing w:before="60" w:after="60"/>
              <w:jc w:val="both"/>
              <w:rPr>
                <w:b/>
                <w:bCs/>
                <w:color w:val="365F91" w:themeColor="accent1" w:themeShade="BF"/>
                <w:sz w:val="22"/>
                <w:szCs w:val="22"/>
              </w:rPr>
            </w:pPr>
            <w:r w:rsidRPr="009E027D">
              <w:rPr>
                <w:b/>
                <w:bCs/>
                <w:color w:val="365F91" w:themeColor="accent1" w:themeShade="BF"/>
                <w:sz w:val="22"/>
                <w:szCs w:val="22"/>
              </w:rPr>
              <w:t>Revision Description</w:t>
            </w:r>
          </w:p>
        </w:tc>
      </w:tr>
      <w:tr w:rsidR="006A6C78" w:rsidRPr="005058F3" w14:paraId="48944CF8" w14:textId="77777777" w:rsidTr="00EC3598">
        <w:tc>
          <w:tcPr>
            <w:tcW w:w="1134" w:type="dxa"/>
          </w:tcPr>
          <w:p w14:paraId="75108210" w14:textId="77777777" w:rsidR="006A6C78" w:rsidRPr="005058F3" w:rsidRDefault="006A6C78" w:rsidP="00A53450">
            <w:pPr>
              <w:spacing w:before="60" w:after="60"/>
              <w:rPr>
                <w:sz w:val="22"/>
                <w:szCs w:val="22"/>
              </w:rPr>
            </w:pPr>
          </w:p>
        </w:tc>
        <w:tc>
          <w:tcPr>
            <w:tcW w:w="1701" w:type="dxa"/>
          </w:tcPr>
          <w:p w14:paraId="155A8D5C" w14:textId="77777777" w:rsidR="006A6C78" w:rsidRPr="005058F3" w:rsidRDefault="006A6C78" w:rsidP="00A53450">
            <w:pPr>
              <w:spacing w:before="60" w:after="60"/>
              <w:rPr>
                <w:sz w:val="22"/>
                <w:szCs w:val="22"/>
              </w:rPr>
            </w:pPr>
          </w:p>
        </w:tc>
        <w:tc>
          <w:tcPr>
            <w:tcW w:w="2694" w:type="dxa"/>
          </w:tcPr>
          <w:p w14:paraId="4DEDCB7A" w14:textId="77777777" w:rsidR="006A6C78" w:rsidRPr="005058F3" w:rsidRDefault="006A6C78" w:rsidP="00A53450">
            <w:pPr>
              <w:spacing w:before="60" w:after="60"/>
              <w:rPr>
                <w:sz w:val="22"/>
                <w:szCs w:val="22"/>
              </w:rPr>
            </w:pPr>
          </w:p>
        </w:tc>
        <w:tc>
          <w:tcPr>
            <w:tcW w:w="4281" w:type="dxa"/>
          </w:tcPr>
          <w:p w14:paraId="36A3E4FB" w14:textId="77777777" w:rsidR="006A6C78" w:rsidRPr="005058F3" w:rsidRDefault="006A6C78" w:rsidP="00A53450">
            <w:pPr>
              <w:spacing w:before="60" w:after="60"/>
              <w:rPr>
                <w:sz w:val="22"/>
                <w:szCs w:val="22"/>
              </w:rPr>
            </w:pPr>
          </w:p>
        </w:tc>
      </w:tr>
      <w:tr w:rsidR="006A6C78" w:rsidRPr="005058F3" w14:paraId="427B0705" w14:textId="77777777" w:rsidTr="00EC3598">
        <w:tc>
          <w:tcPr>
            <w:tcW w:w="1134" w:type="dxa"/>
          </w:tcPr>
          <w:p w14:paraId="7C59B37C" w14:textId="77777777" w:rsidR="006A6C78" w:rsidRPr="00F8178C" w:rsidRDefault="006A6C78" w:rsidP="00A53450">
            <w:pPr>
              <w:spacing w:before="60" w:after="60"/>
              <w:rPr>
                <w:sz w:val="22"/>
                <w:szCs w:val="22"/>
              </w:rPr>
            </w:pPr>
          </w:p>
        </w:tc>
        <w:tc>
          <w:tcPr>
            <w:tcW w:w="1701" w:type="dxa"/>
          </w:tcPr>
          <w:p w14:paraId="1847A3BF" w14:textId="77777777" w:rsidR="006A6C78" w:rsidRPr="00F8178C" w:rsidRDefault="006A6C78" w:rsidP="00A53450">
            <w:pPr>
              <w:spacing w:before="60" w:after="60"/>
              <w:rPr>
                <w:sz w:val="22"/>
                <w:szCs w:val="22"/>
              </w:rPr>
            </w:pPr>
          </w:p>
        </w:tc>
        <w:tc>
          <w:tcPr>
            <w:tcW w:w="2694" w:type="dxa"/>
          </w:tcPr>
          <w:p w14:paraId="0F618811" w14:textId="77777777" w:rsidR="006A6C78" w:rsidRPr="00F8178C" w:rsidRDefault="006A6C78" w:rsidP="00A53450">
            <w:pPr>
              <w:spacing w:before="60" w:after="60"/>
              <w:rPr>
                <w:sz w:val="22"/>
                <w:szCs w:val="22"/>
              </w:rPr>
            </w:pPr>
          </w:p>
        </w:tc>
        <w:tc>
          <w:tcPr>
            <w:tcW w:w="4281" w:type="dxa"/>
          </w:tcPr>
          <w:p w14:paraId="2BADB810" w14:textId="77777777" w:rsidR="006A6C78" w:rsidRPr="00F8178C" w:rsidRDefault="006A6C78" w:rsidP="00A53450">
            <w:pPr>
              <w:spacing w:before="60" w:after="60"/>
              <w:rPr>
                <w:sz w:val="22"/>
                <w:szCs w:val="22"/>
              </w:rPr>
            </w:pPr>
          </w:p>
        </w:tc>
      </w:tr>
      <w:tr w:rsidR="006A6C78" w:rsidRPr="005058F3" w14:paraId="00837962" w14:textId="77777777" w:rsidTr="00EC3598">
        <w:tc>
          <w:tcPr>
            <w:tcW w:w="1134" w:type="dxa"/>
          </w:tcPr>
          <w:p w14:paraId="04C9100E" w14:textId="77777777" w:rsidR="006A6C78" w:rsidRPr="00F8178C" w:rsidRDefault="006A6C78" w:rsidP="00A53450">
            <w:pPr>
              <w:spacing w:before="60" w:after="60"/>
              <w:rPr>
                <w:sz w:val="22"/>
                <w:szCs w:val="22"/>
              </w:rPr>
            </w:pPr>
          </w:p>
        </w:tc>
        <w:tc>
          <w:tcPr>
            <w:tcW w:w="1701" w:type="dxa"/>
          </w:tcPr>
          <w:p w14:paraId="30799645" w14:textId="77777777" w:rsidR="006A6C78" w:rsidRPr="00F8178C" w:rsidRDefault="006A6C78" w:rsidP="00A53450">
            <w:pPr>
              <w:spacing w:before="60" w:after="60"/>
              <w:rPr>
                <w:sz w:val="22"/>
                <w:szCs w:val="22"/>
              </w:rPr>
            </w:pPr>
          </w:p>
        </w:tc>
        <w:tc>
          <w:tcPr>
            <w:tcW w:w="2694" w:type="dxa"/>
          </w:tcPr>
          <w:p w14:paraId="43869CD9" w14:textId="77777777" w:rsidR="006A6C78" w:rsidRPr="00F8178C" w:rsidRDefault="006A6C78" w:rsidP="00A53450">
            <w:pPr>
              <w:spacing w:before="60" w:after="60"/>
              <w:rPr>
                <w:sz w:val="22"/>
                <w:szCs w:val="22"/>
              </w:rPr>
            </w:pPr>
          </w:p>
        </w:tc>
        <w:tc>
          <w:tcPr>
            <w:tcW w:w="4281" w:type="dxa"/>
          </w:tcPr>
          <w:p w14:paraId="1E3C0B1F" w14:textId="77777777" w:rsidR="006A6C78" w:rsidRPr="00F8178C" w:rsidRDefault="006A6C78" w:rsidP="00A53450">
            <w:pPr>
              <w:spacing w:before="60" w:after="60"/>
              <w:rPr>
                <w:sz w:val="22"/>
                <w:szCs w:val="22"/>
              </w:rPr>
            </w:pPr>
          </w:p>
        </w:tc>
      </w:tr>
      <w:tr w:rsidR="006A6C78" w:rsidRPr="005058F3" w14:paraId="4E499D51" w14:textId="77777777" w:rsidTr="00EC3598">
        <w:tc>
          <w:tcPr>
            <w:tcW w:w="1134" w:type="dxa"/>
          </w:tcPr>
          <w:p w14:paraId="4ED46544" w14:textId="77777777" w:rsidR="006A6C78" w:rsidRPr="00F8178C" w:rsidRDefault="006A6C78" w:rsidP="00A53450">
            <w:pPr>
              <w:spacing w:before="60" w:after="60"/>
              <w:rPr>
                <w:sz w:val="22"/>
                <w:szCs w:val="22"/>
              </w:rPr>
            </w:pPr>
          </w:p>
        </w:tc>
        <w:tc>
          <w:tcPr>
            <w:tcW w:w="1701" w:type="dxa"/>
          </w:tcPr>
          <w:p w14:paraId="453DB22D" w14:textId="77777777" w:rsidR="006A6C78" w:rsidRPr="00F8178C" w:rsidRDefault="006A6C78" w:rsidP="00A53450">
            <w:pPr>
              <w:spacing w:before="60" w:after="60"/>
              <w:rPr>
                <w:sz w:val="22"/>
                <w:szCs w:val="22"/>
              </w:rPr>
            </w:pPr>
          </w:p>
        </w:tc>
        <w:tc>
          <w:tcPr>
            <w:tcW w:w="2694" w:type="dxa"/>
          </w:tcPr>
          <w:p w14:paraId="6AE950CC" w14:textId="77777777" w:rsidR="006A6C78" w:rsidRPr="00F8178C" w:rsidRDefault="006A6C78" w:rsidP="00A53450">
            <w:pPr>
              <w:spacing w:before="60" w:after="60"/>
              <w:rPr>
                <w:sz w:val="22"/>
                <w:szCs w:val="22"/>
              </w:rPr>
            </w:pPr>
          </w:p>
        </w:tc>
        <w:tc>
          <w:tcPr>
            <w:tcW w:w="4281" w:type="dxa"/>
          </w:tcPr>
          <w:p w14:paraId="13CD83E5" w14:textId="77777777" w:rsidR="006A6C78" w:rsidRPr="00F8178C" w:rsidRDefault="006A6C78" w:rsidP="00A53450">
            <w:pPr>
              <w:spacing w:before="60" w:after="60"/>
              <w:rPr>
                <w:sz w:val="22"/>
                <w:szCs w:val="22"/>
              </w:rPr>
            </w:pPr>
          </w:p>
        </w:tc>
      </w:tr>
      <w:tr w:rsidR="006A6C78" w:rsidRPr="005058F3" w14:paraId="461CD04C" w14:textId="77777777" w:rsidTr="00EC3598">
        <w:tc>
          <w:tcPr>
            <w:tcW w:w="1134" w:type="dxa"/>
          </w:tcPr>
          <w:p w14:paraId="7924FDF2" w14:textId="77777777" w:rsidR="006A6C78" w:rsidRPr="00F8178C" w:rsidRDefault="006A6C78" w:rsidP="00A53450">
            <w:pPr>
              <w:spacing w:before="60" w:after="60"/>
              <w:rPr>
                <w:sz w:val="22"/>
                <w:szCs w:val="22"/>
              </w:rPr>
            </w:pPr>
          </w:p>
        </w:tc>
        <w:tc>
          <w:tcPr>
            <w:tcW w:w="1701" w:type="dxa"/>
          </w:tcPr>
          <w:p w14:paraId="1B2F1EBC" w14:textId="77777777" w:rsidR="006A6C78" w:rsidRPr="00F8178C" w:rsidRDefault="006A6C78" w:rsidP="00A53450">
            <w:pPr>
              <w:spacing w:before="60" w:after="60"/>
              <w:rPr>
                <w:sz w:val="22"/>
                <w:szCs w:val="22"/>
              </w:rPr>
            </w:pPr>
          </w:p>
        </w:tc>
        <w:tc>
          <w:tcPr>
            <w:tcW w:w="2694" w:type="dxa"/>
          </w:tcPr>
          <w:p w14:paraId="79BAC279" w14:textId="77777777" w:rsidR="006A6C78" w:rsidRPr="00F8178C" w:rsidRDefault="006A6C78" w:rsidP="00A53450">
            <w:pPr>
              <w:spacing w:before="60" w:after="60"/>
              <w:rPr>
                <w:sz w:val="22"/>
                <w:szCs w:val="22"/>
              </w:rPr>
            </w:pPr>
          </w:p>
        </w:tc>
        <w:tc>
          <w:tcPr>
            <w:tcW w:w="4281" w:type="dxa"/>
          </w:tcPr>
          <w:p w14:paraId="0CC3944C" w14:textId="77777777" w:rsidR="006A6C78" w:rsidRPr="00F8178C" w:rsidRDefault="006A6C78" w:rsidP="00A53450">
            <w:pPr>
              <w:spacing w:before="60" w:after="60"/>
              <w:rPr>
                <w:sz w:val="22"/>
                <w:szCs w:val="22"/>
              </w:rPr>
            </w:pPr>
          </w:p>
        </w:tc>
      </w:tr>
    </w:tbl>
    <w:p w14:paraId="5A6FBF49" w14:textId="77777777" w:rsidR="006A6C78" w:rsidRPr="005058F3" w:rsidRDefault="006A6C78" w:rsidP="006A6C78">
      <w:pPr>
        <w:ind w:left="-567"/>
        <w:rPr>
          <w:b/>
          <w:sz w:val="22"/>
          <w:szCs w:val="22"/>
        </w:rPr>
      </w:pPr>
    </w:p>
    <w:p w14:paraId="73CDB1B8" w14:textId="3527C320" w:rsidR="006A6C78" w:rsidRDefault="006A6C78" w:rsidP="006A6C78">
      <w:pPr>
        <w:pStyle w:val="Default"/>
        <w:ind w:right="42"/>
        <w:jc w:val="both"/>
        <w:rPr>
          <w:b/>
          <w:bCs/>
          <w:color w:val="FF0000"/>
          <w:sz w:val="22"/>
          <w:szCs w:val="22"/>
        </w:rPr>
      </w:pPr>
    </w:p>
    <w:p w14:paraId="2157885F" w14:textId="77777777" w:rsidR="006A6C78" w:rsidRPr="009E027D" w:rsidRDefault="006A6C78" w:rsidP="006A6C78">
      <w:pPr>
        <w:ind w:left="-142"/>
        <w:rPr>
          <w:b/>
          <w:color w:val="365F91" w:themeColor="accent1" w:themeShade="BF"/>
          <w:sz w:val="22"/>
          <w:szCs w:val="22"/>
        </w:rPr>
      </w:pPr>
      <w:bookmarkStart w:id="0" w:name="_Toc315975702"/>
      <w:bookmarkStart w:id="1" w:name="_Toc316636681"/>
      <w:bookmarkStart w:id="2" w:name="_Toc319499450"/>
      <w:r w:rsidRPr="009E027D">
        <w:rPr>
          <w:b/>
          <w:color w:val="365F91" w:themeColor="accent1" w:themeShade="BF"/>
          <w:sz w:val="22"/>
          <w:szCs w:val="22"/>
        </w:rPr>
        <w:t xml:space="preserve">DOCUMENT CONTROL </w:t>
      </w:r>
    </w:p>
    <w:p w14:paraId="36177775" w14:textId="77777777" w:rsidR="006A6C78" w:rsidRPr="00676D86" w:rsidRDefault="006A6C78" w:rsidP="006A6C78">
      <w:pPr>
        <w:ind w:left="-142"/>
        <w:rPr>
          <w:b/>
          <w:color w:val="0070C0"/>
          <w:sz w:val="22"/>
          <w:szCs w:val="22"/>
        </w:rPr>
      </w:pPr>
    </w:p>
    <w:p w14:paraId="3D4EA044" w14:textId="77777777" w:rsidR="006A6C78" w:rsidRPr="00676D86" w:rsidRDefault="006A6C78" w:rsidP="006A6C78">
      <w:pPr>
        <w:tabs>
          <w:tab w:val="left" w:pos="3090"/>
        </w:tabs>
        <w:spacing w:before="46"/>
        <w:ind w:left="-142" w:right="-99"/>
        <w:jc w:val="both"/>
        <w:rPr>
          <w:i/>
          <w:iCs/>
          <w:spacing w:val="-1"/>
          <w:w w:val="105"/>
          <w:sz w:val="22"/>
          <w:szCs w:val="22"/>
        </w:rPr>
      </w:pPr>
      <w:r w:rsidRPr="00676D86">
        <w:rPr>
          <w:i/>
          <w:iCs/>
          <w:spacing w:val="-1"/>
          <w:w w:val="105"/>
          <w:sz w:val="22"/>
          <w:szCs w:val="22"/>
        </w:rPr>
        <w:t>This is a controlled document. Whilst this document may be</w:t>
      </w:r>
      <w:r>
        <w:rPr>
          <w:i/>
          <w:iCs/>
          <w:spacing w:val="-1"/>
          <w:w w:val="105"/>
          <w:sz w:val="22"/>
          <w:szCs w:val="22"/>
        </w:rPr>
        <w:t xml:space="preserve"> </w:t>
      </w:r>
      <w:r w:rsidRPr="00676D86">
        <w:rPr>
          <w:i/>
          <w:iCs/>
          <w:spacing w:val="-1"/>
          <w:w w:val="105"/>
          <w:sz w:val="22"/>
          <w:szCs w:val="22"/>
        </w:rPr>
        <w:t xml:space="preserve">printed, the electronic version posted on the intranet is the controlled copy. Any printed copies of this document are not controlled. As a controlled document, this document should not be saved onto local or network drives but should always be accessed from the website. </w:t>
      </w:r>
    </w:p>
    <w:bookmarkEnd w:id="0"/>
    <w:bookmarkEnd w:id="1"/>
    <w:bookmarkEnd w:id="2"/>
    <w:p w14:paraId="0C67259A" w14:textId="77777777" w:rsidR="006A6C78" w:rsidRPr="00676D86" w:rsidRDefault="006A6C78" w:rsidP="006A6C78">
      <w:pPr>
        <w:keepNext/>
        <w:keepLines/>
        <w:overflowPunct w:val="0"/>
        <w:autoSpaceDE w:val="0"/>
        <w:autoSpaceDN w:val="0"/>
        <w:adjustRightInd w:val="0"/>
        <w:ind w:left="-142" w:right="-99"/>
        <w:jc w:val="both"/>
        <w:textAlignment w:val="baseline"/>
        <w:rPr>
          <w:rFonts w:ascii="Webdings" w:hAnsi="Webdings" w:cs="Times New Roman"/>
          <w:i/>
          <w:iCs/>
          <w:color w:val="008000"/>
          <w:sz w:val="22"/>
          <w:szCs w:val="22"/>
        </w:rPr>
      </w:pPr>
    </w:p>
    <w:p w14:paraId="6C1A30B3" w14:textId="77777777" w:rsidR="006A6C78" w:rsidRDefault="006A6C78" w:rsidP="006A6C78">
      <w:pPr>
        <w:keepNext/>
        <w:keepLines/>
        <w:overflowPunct w:val="0"/>
        <w:autoSpaceDE w:val="0"/>
        <w:autoSpaceDN w:val="0"/>
        <w:adjustRightInd w:val="0"/>
        <w:ind w:left="-142" w:right="-99"/>
        <w:jc w:val="both"/>
        <w:textAlignment w:val="baseline"/>
        <w:rPr>
          <w:i/>
          <w:iCs/>
          <w:sz w:val="22"/>
          <w:szCs w:val="22"/>
        </w:rPr>
      </w:pPr>
      <w:r w:rsidRPr="00676D86">
        <w:rPr>
          <w:rFonts w:ascii="Webdings" w:hAnsi="Webdings" w:cs="Times New Roman"/>
          <w:i/>
          <w:iCs/>
          <w:color w:val="008000"/>
          <w:sz w:val="22"/>
          <w:szCs w:val="22"/>
        </w:rPr>
        <w:t></w:t>
      </w:r>
      <w:r w:rsidRPr="00676D86">
        <w:rPr>
          <w:rFonts w:ascii="Webdings" w:hAnsi="Webdings" w:cs="Times New Roman"/>
          <w:i/>
          <w:iCs/>
          <w:color w:val="008000"/>
          <w:sz w:val="22"/>
          <w:szCs w:val="22"/>
        </w:rPr>
        <w:t></w:t>
      </w:r>
      <w:r w:rsidRPr="00676D86">
        <w:rPr>
          <w:i/>
          <w:iCs/>
          <w:sz w:val="22"/>
          <w:szCs w:val="22"/>
        </w:rPr>
        <w:t>Do you really need to print this document?</w:t>
      </w:r>
      <w:r>
        <w:rPr>
          <w:i/>
          <w:iCs/>
          <w:sz w:val="22"/>
          <w:szCs w:val="22"/>
        </w:rPr>
        <w:t xml:space="preserve"> </w:t>
      </w:r>
    </w:p>
    <w:p w14:paraId="43CB463A" w14:textId="77777777" w:rsidR="006A6C78" w:rsidRDefault="006A6C78" w:rsidP="006A6C78">
      <w:pPr>
        <w:keepNext/>
        <w:keepLines/>
        <w:overflowPunct w:val="0"/>
        <w:autoSpaceDE w:val="0"/>
        <w:autoSpaceDN w:val="0"/>
        <w:adjustRightInd w:val="0"/>
        <w:ind w:left="-142" w:right="-99"/>
        <w:jc w:val="both"/>
        <w:textAlignment w:val="baseline"/>
        <w:rPr>
          <w:i/>
          <w:iCs/>
          <w:sz w:val="22"/>
          <w:szCs w:val="22"/>
        </w:rPr>
      </w:pPr>
      <w:r w:rsidRPr="00676D86">
        <w:rPr>
          <w:i/>
          <w:iCs/>
          <w:sz w:val="22"/>
          <w:szCs w:val="22"/>
        </w:rPr>
        <w:t>Please consider the environment before you print this document and where copies should be printed double-sided. Please also consider setting the Page Range in the Print properties, when relevant to do so, to avoid printing the policy in its entirety.</w:t>
      </w:r>
    </w:p>
    <w:p w14:paraId="6851FB01" w14:textId="77777777" w:rsidR="006A6C78" w:rsidRDefault="006A6C78" w:rsidP="006A6C78">
      <w:pPr>
        <w:keepNext/>
        <w:keepLines/>
        <w:overflowPunct w:val="0"/>
        <w:autoSpaceDE w:val="0"/>
        <w:autoSpaceDN w:val="0"/>
        <w:adjustRightInd w:val="0"/>
        <w:ind w:left="-142" w:right="-99"/>
        <w:jc w:val="both"/>
        <w:textAlignment w:val="baseline"/>
        <w:rPr>
          <w:i/>
          <w:iCs/>
          <w:sz w:val="22"/>
          <w:szCs w:val="22"/>
        </w:rPr>
      </w:pPr>
    </w:p>
    <w:p w14:paraId="51757006" w14:textId="77777777" w:rsidR="006A6C78" w:rsidRPr="00450A91" w:rsidRDefault="006A6C78" w:rsidP="006A6C78">
      <w:pPr>
        <w:pStyle w:val="Default"/>
        <w:ind w:right="42"/>
        <w:jc w:val="both"/>
        <w:rPr>
          <w:b/>
          <w:bCs/>
          <w:sz w:val="22"/>
          <w:szCs w:val="22"/>
        </w:rPr>
      </w:pPr>
    </w:p>
    <w:p w14:paraId="0B4E7D36" w14:textId="14DF9145" w:rsidR="00496840" w:rsidRPr="005058F3" w:rsidRDefault="00496840" w:rsidP="00722A82">
      <w:pPr>
        <w:pStyle w:val="NormalWeb"/>
        <w:shd w:val="clear" w:color="auto" w:fill="FFFFFF"/>
        <w:spacing w:after="0"/>
        <w:ind w:left="720" w:right="42" w:hanging="720"/>
        <w:jc w:val="both"/>
        <w:rPr>
          <w:rFonts w:ascii="Arial" w:hAnsi="Arial" w:cs="Arial"/>
          <w:color w:val="000000" w:themeColor="text1"/>
          <w:sz w:val="22"/>
          <w:szCs w:val="22"/>
        </w:rPr>
      </w:pPr>
    </w:p>
    <w:p w14:paraId="5D26483F" w14:textId="5E6A5278" w:rsidR="008825C4" w:rsidRDefault="008825C4" w:rsidP="005D3261">
      <w:pPr>
        <w:pStyle w:val="NormalWeb"/>
        <w:shd w:val="clear" w:color="auto" w:fill="FFFFFF"/>
        <w:spacing w:after="0"/>
        <w:ind w:right="42"/>
        <w:jc w:val="both"/>
        <w:rPr>
          <w:rFonts w:ascii="Arial" w:hAnsi="Arial" w:cs="Arial"/>
          <w:color w:val="000000" w:themeColor="text1"/>
          <w:sz w:val="22"/>
          <w:szCs w:val="22"/>
        </w:rPr>
      </w:pPr>
    </w:p>
    <w:p w14:paraId="2FEABE4E" w14:textId="5B9381B6" w:rsidR="00E07272" w:rsidRDefault="00E07272" w:rsidP="005D3261">
      <w:pPr>
        <w:pStyle w:val="NormalWeb"/>
        <w:shd w:val="clear" w:color="auto" w:fill="FFFFFF"/>
        <w:spacing w:after="0"/>
        <w:ind w:right="42"/>
        <w:jc w:val="both"/>
        <w:rPr>
          <w:rFonts w:ascii="Arial" w:hAnsi="Arial" w:cs="Arial"/>
          <w:color w:val="000000" w:themeColor="text1"/>
          <w:sz w:val="22"/>
          <w:szCs w:val="22"/>
        </w:rPr>
      </w:pPr>
    </w:p>
    <w:p w14:paraId="44E418FB" w14:textId="77777777" w:rsidR="00E07272" w:rsidRPr="005058F3" w:rsidRDefault="00E07272" w:rsidP="005D3261">
      <w:pPr>
        <w:pStyle w:val="NormalWeb"/>
        <w:shd w:val="clear" w:color="auto" w:fill="FFFFFF"/>
        <w:spacing w:after="0"/>
        <w:ind w:right="42"/>
        <w:jc w:val="both"/>
        <w:rPr>
          <w:rFonts w:ascii="Arial" w:hAnsi="Arial" w:cs="Arial"/>
          <w:color w:val="000000" w:themeColor="text1"/>
          <w:sz w:val="22"/>
          <w:szCs w:val="22"/>
        </w:rPr>
      </w:pPr>
    </w:p>
    <w:p w14:paraId="5E3AC889" w14:textId="77777777" w:rsidR="008A7185" w:rsidRPr="008A7185" w:rsidRDefault="008A7185" w:rsidP="008A7185">
      <w:pPr>
        <w:rPr>
          <w:b/>
          <w:sz w:val="22"/>
          <w:szCs w:val="22"/>
        </w:rPr>
      </w:pPr>
      <w:bookmarkStart w:id="3" w:name="_Toc398730574"/>
    </w:p>
    <w:p w14:paraId="48D5B13D" w14:textId="64DB10B3" w:rsidR="008A7185" w:rsidRPr="008A7185" w:rsidRDefault="006A6C78" w:rsidP="006A6C78">
      <w:pPr>
        <w:pStyle w:val="Heading1"/>
        <w:keepNext w:val="0"/>
        <w:spacing w:before="0"/>
        <w:rPr>
          <w:sz w:val="22"/>
          <w:szCs w:val="22"/>
        </w:rPr>
      </w:pPr>
      <w:r w:rsidRPr="008A7185">
        <w:rPr>
          <w:sz w:val="22"/>
          <w:szCs w:val="22"/>
        </w:rPr>
        <w:t xml:space="preserve"> </w:t>
      </w:r>
    </w:p>
    <w:bookmarkEnd w:id="3"/>
    <w:p w14:paraId="5B0D3BB3" w14:textId="77777777" w:rsidR="008A7185" w:rsidRPr="008A7185" w:rsidRDefault="008A7185" w:rsidP="00E50A91">
      <w:pPr>
        <w:rPr>
          <w:b/>
          <w:bCs/>
          <w:color w:val="365F91" w:themeColor="accent1" w:themeShade="BF"/>
          <w:sz w:val="22"/>
          <w:szCs w:val="22"/>
        </w:rPr>
      </w:pPr>
    </w:p>
    <w:sectPr w:rsidR="008A7185" w:rsidRPr="008A7185" w:rsidSect="00BC5603">
      <w:headerReference w:type="default" r:id="rId10"/>
      <w:footerReference w:type="default" r:id="rId11"/>
      <w:footerReference w:type="first" r:id="rId12"/>
      <w:type w:val="continuous"/>
      <w:pgSz w:w="11906" w:h="16838" w:code="9"/>
      <w:pgMar w:top="1440" w:right="1080" w:bottom="1440" w:left="1080"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E62F" w14:textId="77777777" w:rsidR="00947830" w:rsidRDefault="00947830">
      <w:r>
        <w:separator/>
      </w:r>
    </w:p>
  </w:endnote>
  <w:endnote w:type="continuationSeparator" w:id="0">
    <w:p w14:paraId="1969848D" w14:textId="77777777" w:rsidR="00947830" w:rsidRDefault="0094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4326" w14:textId="09AE6660" w:rsidR="00722A82" w:rsidRPr="0078287B" w:rsidRDefault="006500BE" w:rsidP="007B7A90">
    <w:pPr>
      <w:pStyle w:val="Footer"/>
      <w:rPr>
        <w:sz w:val="20"/>
        <w:szCs w:val="20"/>
      </w:rPr>
    </w:pPr>
    <w:r>
      <w:rPr>
        <w:noProof/>
      </w:rPr>
      <w:drawing>
        <wp:anchor distT="0" distB="0" distL="114300" distR="114300" simplePos="0" relativeHeight="251656704" behindDoc="0" locked="0" layoutInCell="1" allowOverlap="1" wp14:anchorId="612E3928" wp14:editId="34D9F806">
          <wp:simplePos x="0" y="0"/>
          <wp:positionH relativeFrom="page">
            <wp:posOffset>-40005</wp:posOffset>
          </wp:positionH>
          <wp:positionV relativeFrom="paragraph">
            <wp:posOffset>342265</wp:posOffset>
          </wp:positionV>
          <wp:extent cx="7533005" cy="525780"/>
          <wp:effectExtent l="0" t="0" r="0" b="0"/>
          <wp:wrapNone/>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63247"/>
                  <a:stretch/>
                </pic:blipFill>
                <pic:spPr bwMode="auto">
                  <a:xfrm>
                    <a:off x="0" y="0"/>
                    <a:ext cx="7533005"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9639"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2642"/>
    </w:tblGrid>
    <w:tr w:rsidR="00722A82" w14:paraId="39596D61" w14:textId="77777777" w:rsidTr="00201A1A">
      <w:trPr>
        <w:jc w:val="center"/>
      </w:trPr>
      <w:tc>
        <w:tcPr>
          <w:tcW w:w="6997" w:type="dxa"/>
        </w:tcPr>
        <w:p w14:paraId="2FD1DCF0" w14:textId="4490DDF4" w:rsidR="00BC5603" w:rsidRDefault="0054626B" w:rsidP="0054626B">
          <w:pPr>
            <w:pStyle w:val="Footer"/>
            <w:rPr>
              <w:sz w:val="20"/>
              <w:szCs w:val="20"/>
            </w:rPr>
          </w:pPr>
          <w:r w:rsidRPr="0054626B">
            <w:rPr>
              <w:sz w:val="20"/>
              <w:szCs w:val="20"/>
            </w:rPr>
            <w:t>Scar Revision</w:t>
          </w:r>
          <w:r>
            <w:rPr>
              <w:sz w:val="20"/>
              <w:szCs w:val="20"/>
            </w:rPr>
            <w:t xml:space="preserve"> </w:t>
          </w:r>
          <w:r w:rsidRPr="0054626B">
            <w:rPr>
              <w:sz w:val="20"/>
              <w:szCs w:val="20"/>
            </w:rPr>
            <w:t>July 2022 V1.0</w:t>
          </w:r>
        </w:p>
        <w:p w14:paraId="2B58DFAA" w14:textId="7C42F585" w:rsidR="00722A82" w:rsidRPr="00F06FD8" w:rsidRDefault="00F54533" w:rsidP="00F06FD8">
          <w:pPr>
            <w:pStyle w:val="Footer"/>
            <w:rPr>
              <w:b/>
              <w:sz w:val="20"/>
              <w:szCs w:val="20"/>
            </w:rPr>
          </w:pPr>
          <w:r w:rsidRPr="00335B32">
            <w:rPr>
              <w:sz w:val="20"/>
              <w:szCs w:val="20"/>
            </w:rPr>
            <w:t>Hertfordshire and West Essex Integrated Care Board</w:t>
          </w:r>
        </w:p>
      </w:tc>
      <w:tc>
        <w:tcPr>
          <w:tcW w:w="2642" w:type="dxa"/>
        </w:tcPr>
        <w:sdt>
          <w:sdtPr>
            <w:rPr>
              <w:sz w:val="20"/>
              <w:szCs w:val="20"/>
            </w:rPr>
            <w:id w:val="-1318336367"/>
            <w:docPartObj>
              <w:docPartGallery w:val="Page Numbers (Top of Page)"/>
              <w:docPartUnique/>
            </w:docPartObj>
          </w:sdtPr>
          <w:sdtEndPr/>
          <w:sdtContent>
            <w:p w14:paraId="2F10FA27" w14:textId="06A729EE" w:rsidR="00722A82" w:rsidRPr="00335B32" w:rsidRDefault="00335B32" w:rsidP="00335B32">
              <w:pPr>
                <w:pStyle w:val="Header"/>
                <w:jc w:val="right"/>
                <w:rPr>
                  <w:sz w:val="20"/>
                  <w:szCs w:val="20"/>
                </w:rPr>
              </w:pPr>
              <w:r w:rsidRPr="00335B32">
                <w:rPr>
                  <w:sz w:val="20"/>
                  <w:szCs w:val="20"/>
                </w:rPr>
                <w:t xml:space="preserve">Page </w:t>
              </w:r>
              <w:r w:rsidRPr="00335B32">
                <w:rPr>
                  <w:b/>
                  <w:bCs/>
                  <w:sz w:val="20"/>
                  <w:szCs w:val="20"/>
                </w:rPr>
                <w:fldChar w:fldCharType="begin"/>
              </w:r>
              <w:r w:rsidRPr="00335B32">
                <w:rPr>
                  <w:b/>
                  <w:bCs/>
                  <w:sz w:val="20"/>
                  <w:szCs w:val="20"/>
                </w:rPr>
                <w:instrText xml:space="preserve"> PAGE </w:instrText>
              </w:r>
              <w:r w:rsidRPr="00335B32">
                <w:rPr>
                  <w:b/>
                  <w:bCs/>
                  <w:sz w:val="20"/>
                  <w:szCs w:val="20"/>
                </w:rPr>
                <w:fldChar w:fldCharType="separate"/>
              </w:r>
              <w:r w:rsidRPr="00335B32">
                <w:rPr>
                  <w:b/>
                  <w:bCs/>
                  <w:sz w:val="20"/>
                  <w:szCs w:val="20"/>
                </w:rPr>
                <w:t>1</w:t>
              </w:r>
              <w:r w:rsidRPr="00335B32">
                <w:rPr>
                  <w:b/>
                  <w:bCs/>
                  <w:sz w:val="20"/>
                  <w:szCs w:val="20"/>
                </w:rPr>
                <w:fldChar w:fldCharType="end"/>
              </w:r>
              <w:r w:rsidRPr="00335B32">
                <w:rPr>
                  <w:sz w:val="20"/>
                  <w:szCs w:val="20"/>
                </w:rPr>
                <w:t xml:space="preserve"> of </w:t>
              </w:r>
              <w:r w:rsidRPr="00335B32">
                <w:rPr>
                  <w:b/>
                  <w:bCs/>
                  <w:sz w:val="20"/>
                  <w:szCs w:val="20"/>
                </w:rPr>
                <w:fldChar w:fldCharType="begin"/>
              </w:r>
              <w:r w:rsidRPr="00335B32">
                <w:rPr>
                  <w:b/>
                  <w:bCs/>
                  <w:sz w:val="20"/>
                  <w:szCs w:val="20"/>
                </w:rPr>
                <w:instrText xml:space="preserve"> NUMPAGES  </w:instrText>
              </w:r>
              <w:r w:rsidRPr="00335B32">
                <w:rPr>
                  <w:b/>
                  <w:bCs/>
                  <w:sz w:val="20"/>
                  <w:szCs w:val="20"/>
                </w:rPr>
                <w:fldChar w:fldCharType="separate"/>
              </w:r>
              <w:r w:rsidRPr="00335B32">
                <w:rPr>
                  <w:b/>
                  <w:bCs/>
                  <w:sz w:val="20"/>
                  <w:szCs w:val="20"/>
                </w:rPr>
                <w:t>12</w:t>
              </w:r>
              <w:r w:rsidRPr="00335B32">
                <w:rPr>
                  <w:b/>
                  <w:bCs/>
                  <w:sz w:val="20"/>
                  <w:szCs w:val="20"/>
                </w:rPr>
                <w:fldChar w:fldCharType="end"/>
              </w:r>
            </w:p>
          </w:sdtContent>
        </w:sdt>
      </w:tc>
    </w:tr>
  </w:tbl>
  <w:p w14:paraId="36C5F975" w14:textId="4882ACD0" w:rsidR="00722A82" w:rsidRPr="0078287B" w:rsidRDefault="00722A82" w:rsidP="001B50AB">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8A0B" w14:textId="77777777" w:rsidR="00DA2237" w:rsidRDefault="00DA2237"/>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7"/>
      <w:gridCol w:w="1396"/>
      <w:gridCol w:w="1393"/>
    </w:tblGrid>
    <w:tr w:rsidR="009D5E87" w14:paraId="79230654" w14:textId="2FAEA97F" w:rsidTr="009D5E87">
      <w:tc>
        <w:tcPr>
          <w:tcW w:w="6957" w:type="dxa"/>
        </w:tcPr>
        <w:p w14:paraId="11C9D3EB" w14:textId="0B0FB0CE" w:rsidR="00EC3598" w:rsidRDefault="00BC5603" w:rsidP="00EC3598">
          <w:pPr>
            <w:pStyle w:val="Footer"/>
            <w:rPr>
              <w:sz w:val="20"/>
              <w:szCs w:val="20"/>
            </w:rPr>
          </w:pPr>
          <w:r>
            <w:rPr>
              <w:sz w:val="20"/>
              <w:szCs w:val="20"/>
            </w:rPr>
            <w:t>Integrated Care Board (ICB)</w:t>
          </w:r>
          <w:r w:rsidR="007E7927">
            <w:rPr>
              <w:sz w:val="20"/>
              <w:szCs w:val="20"/>
            </w:rPr>
            <w:t xml:space="preserve"> </w:t>
          </w:r>
          <w:r>
            <w:rPr>
              <w:sz w:val="20"/>
              <w:szCs w:val="20"/>
            </w:rPr>
            <w:t>Policy … version</w:t>
          </w:r>
        </w:p>
        <w:p w14:paraId="6B3D333A" w14:textId="62D7F473" w:rsidR="009D5E87" w:rsidRPr="00EC3598" w:rsidRDefault="009D5E87" w:rsidP="00EC3598">
          <w:pPr>
            <w:pStyle w:val="Footer"/>
            <w:rPr>
              <w:sz w:val="20"/>
              <w:szCs w:val="20"/>
            </w:rPr>
          </w:pPr>
          <w:r>
            <w:rPr>
              <w:sz w:val="20"/>
              <w:szCs w:val="20"/>
            </w:rPr>
            <w:t>Hertfordshire and West Essex Integrated Care Board</w:t>
          </w:r>
        </w:p>
      </w:tc>
      <w:tc>
        <w:tcPr>
          <w:tcW w:w="1396" w:type="dxa"/>
        </w:tcPr>
        <w:p w14:paraId="25E330AC" w14:textId="77777777" w:rsidR="009D5E87" w:rsidRDefault="009D5E87" w:rsidP="00BC1D83">
          <w:pPr>
            <w:pStyle w:val="Footer"/>
            <w:ind w:right="-99"/>
            <w:rPr>
              <w:sz w:val="20"/>
              <w:szCs w:val="20"/>
            </w:rPr>
          </w:pPr>
        </w:p>
        <w:p w14:paraId="17CEF1E8" w14:textId="29C95953" w:rsidR="009D5E87" w:rsidRDefault="009D5E87" w:rsidP="00BC1D83">
          <w:pPr>
            <w:pStyle w:val="Footer"/>
            <w:ind w:right="-99"/>
            <w:rPr>
              <w:sz w:val="20"/>
              <w:szCs w:val="20"/>
            </w:rPr>
          </w:pPr>
          <w:r w:rsidRPr="0078287B">
            <w:rPr>
              <w:sz w:val="20"/>
              <w:szCs w:val="20"/>
            </w:rPr>
            <w:t xml:space="preserve">Page </w:t>
          </w:r>
          <w:r w:rsidRPr="0078287B">
            <w:rPr>
              <w:sz w:val="20"/>
              <w:szCs w:val="20"/>
            </w:rPr>
            <w:fldChar w:fldCharType="begin"/>
          </w:r>
          <w:r w:rsidRPr="0078287B">
            <w:rPr>
              <w:sz w:val="20"/>
              <w:szCs w:val="20"/>
            </w:rPr>
            <w:instrText xml:space="preserve"> PAGE </w:instrText>
          </w:r>
          <w:r w:rsidRPr="0078287B">
            <w:rPr>
              <w:sz w:val="20"/>
              <w:szCs w:val="20"/>
            </w:rPr>
            <w:fldChar w:fldCharType="separate"/>
          </w:r>
          <w:r>
            <w:rPr>
              <w:noProof/>
              <w:sz w:val="20"/>
              <w:szCs w:val="20"/>
            </w:rPr>
            <w:t>11</w:t>
          </w:r>
          <w:r w:rsidRPr="0078287B">
            <w:rPr>
              <w:sz w:val="20"/>
              <w:szCs w:val="20"/>
            </w:rPr>
            <w:fldChar w:fldCharType="end"/>
          </w:r>
          <w:r w:rsidRPr="0078287B">
            <w:rPr>
              <w:sz w:val="20"/>
              <w:szCs w:val="20"/>
            </w:rPr>
            <w:t xml:space="preserve"> of </w:t>
          </w:r>
          <w:r>
            <w:rPr>
              <w:sz w:val="20"/>
              <w:szCs w:val="20"/>
            </w:rPr>
            <w:t>3</w:t>
          </w:r>
        </w:p>
      </w:tc>
      <w:tc>
        <w:tcPr>
          <w:tcW w:w="1393" w:type="dxa"/>
        </w:tcPr>
        <w:p w14:paraId="5AA92781" w14:textId="77777777" w:rsidR="009D5E87" w:rsidRDefault="009D5E87" w:rsidP="00BC1D83">
          <w:pPr>
            <w:pStyle w:val="Footer"/>
            <w:ind w:right="-99"/>
            <w:rPr>
              <w:sz w:val="20"/>
              <w:szCs w:val="20"/>
            </w:rPr>
          </w:pPr>
        </w:p>
      </w:tc>
    </w:tr>
  </w:tbl>
  <w:p w14:paraId="6B8162C0" w14:textId="290CC07E" w:rsidR="006500BE" w:rsidRDefault="006500BE">
    <w:pPr>
      <w:pStyle w:val="Footer"/>
    </w:pPr>
    <w:r>
      <w:rPr>
        <w:noProof/>
      </w:rPr>
      <w:drawing>
        <wp:anchor distT="0" distB="0" distL="114300" distR="114300" simplePos="0" relativeHeight="251657728" behindDoc="0" locked="0" layoutInCell="1" allowOverlap="1" wp14:anchorId="69417218" wp14:editId="0AC7D388">
          <wp:simplePos x="0" y="0"/>
          <wp:positionH relativeFrom="margin">
            <wp:align>center</wp:align>
          </wp:positionH>
          <wp:positionV relativeFrom="paragraph">
            <wp:posOffset>-88900</wp:posOffset>
          </wp:positionV>
          <wp:extent cx="7533005" cy="525780"/>
          <wp:effectExtent l="0" t="0" r="0" b="0"/>
          <wp:wrapNone/>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63247"/>
                  <a:stretch/>
                </pic:blipFill>
                <pic:spPr bwMode="auto">
                  <a:xfrm>
                    <a:off x="0" y="0"/>
                    <a:ext cx="7533005"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2111" w14:textId="77777777" w:rsidR="00947830" w:rsidRDefault="00947830">
      <w:r>
        <w:separator/>
      </w:r>
    </w:p>
  </w:footnote>
  <w:footnote w:type="continuationSeparator" w:id="0">
    <w:p w14:paraId="63E7F967" w14:textId="77777777" w:rsidR="00947830" w:rsidRDefault="00947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C0EB" w14:textId="6F6ABF55" w:rsidR="00722A82" w:rsidRDefault="00722A82" w:rsidP="00396972">
    <w:pPr>
      <w:pStyle w:val="Header"/>
      <w:tabs>
        <w:tab w:val="clear" w:pos="8306"/>
        <w:tab w:val="right" w:pos="9360"/>
      </w:tabs>
      <w:ind w:right="-96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415"/>
    <w:multiLevelType w:val="hybridMultilevel"/>
    <w:tmpl w:val="DD964F6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58325A9"/>
    <w:multiLevelType w:val="multilevel"/>
    <w:tmpl w:val="18C8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B74ED"/>
    <w:multiLevelType w:val="multilevel"/>
    <w:tmpl w:val="F16A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0D6F17"/>
    <w:multiLevelType w:val="hybridMultilevel"/>
    <w:tmpl w:val="2BD88C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443A27AD"/>
    <w:multiLevelType w:val="hybridMultilevel"/>
    <w:tmpl w:val="9D1226A4"/>
    <w:lvl w:ilvl="0" w:tplc="4478FC46">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380A2D"/>
    <w:multiLevelType w:val="multilevel"/>
    <w:tmpl w:val="1E9806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9D7413"/>
    <w:multiLevelType w:val="multilevel"/>
    <w:tmpl w:val="9D0C83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D3782F"/>
    <w:multiLevelType w:val="multilevel"/>
    <w:tmpl w:val="CA3865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7A7039"/>
    <w:multiLevelType w:val="hybridMultilevel"/>
    <w:tmpl w:val="C7F0F6CE"/>
    <w:lvl w:ilvl="0" w:tplc="474CB7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8C30BFE"/>
    <w:multiLevelType w:val="hybridMultilevel"/>
    <w:tmpl w:val="6E60E182"/>
    <w:lvl w:ilvl="0" w:tplc="F8B01E1C">
      <w:start w:val="1"/>
      <w:numFmt w:val="bullet"/>
      <w:lvlText w:val="•"/>
      <w:lvlJc w:val="left"/>
      <w:pPr>
        <w:tabs>
          <w:tab w:val="num" w:pos="360"/>
        </w:tabs>
        <w:ind w:left="360" w:hanging="360"/>
      </w:pPr>
      <w:rPr>
        <w:rFonts w:ascii="Arial" w:hAnsi="Arial" w:hint="default"/>
      </w:rPr>
    </w:lvl>
    <w:lvl w:ilvl="1" w:tplc="5EC4FBB0" w:tentative="1">
      <w:start w:val="1"/>
      <w:numFmt w:val="bullet"/>
      <w:lvlText w:val="•"/>
      <w:lvlJc w:val="left"/>
      <w:pPr>
        <w:tabs>
          <w:tab w:val="num" w:pos="1080"/>
        </w:tabs>
        <w:ind w:left="1080" w:hanging="360"/>
      </w:pPr>
      <w:rPr>
        <w:rFonts w:ascii="Arial" w:hAnsi="Arial" w:hint="default"/>
      </w:rPr>
    </w:lvl>
    <w:lvl w:ilvl="2" w:tplc="18889704" w:tentative="1">
      <w:start w:val="1"/>
      <w:numFmt w:val="bullet"/>
      <w:lvlText w:val="•"/>
      <w:lvlJc w:val="left"/>
      <w:pPr>
        <w:tabs>
          <w:tab w:val="num" w:pos="1800"/>
        </w:tabs>
        <w:ind w:left="1800" w:hanging="360"/>
      </w:pPr>
      <w:rPr>
        <w:rFonts w:ascii="Arial" w:hAnsi="Arial" w:hint="default"/>
      </w:rPr>
    </w:lvl>
    <w:lvl w:ilvl="3" w:tplc="20E433FE" w:tentative="1">
      <w:start w:val="1"/>
      <w:numFmt w:val="bullet"/>
      <w:lvlText w:val="•"/>
      <w:lvlJc w:val="left"/>
      <w:pPr>
        <w:tabs>
          <w:tab w:val="num" w:pos="2520"/>
        </w:tabs>
        <w:ind w:left="2520" w:hanging="360"/>
      </w:pPr>
      <w:rPr>
        <w:rFonts w:ascii="Arial" w:hAnsi="Arial" w:hint="default"/>
      </w:rPr>
    </w:lvl>
    <w:lvl w:ilvl="4" w:tplc="2884CF7A" w:tentative="1">
      <w:start w:val="1"/>
      <w:numFmt w:val="bullet"/>
      <w:lvlText w:val="•"/>
      <w:lvlJc w:val="left"/>
      <w:pPr>
        <w:tabs>
          <w:tab w:val="num" w:pos="3240"/>
        </w:tabs>
        <w:ind w:left="3240" w:hanging="360"/>
      </w:pPr>
      <w:rPr>
        <w:rFonts w:ascii="Arial" w:hAnsi="Arial" w:hint="default"/>
      </w:rPr>
    </w:lvl>
    <w:lvl w:ilvl="5" w:tplc="2E10AA84" w:tentative="1">
      <w:start w:val="1"/>
      <w:numFmt w:val="bullet"/>
      <w:lvlText w:val="•"/>
      <w:lvlJc w:val="left"/>
      <w:pPr>
        <w:tabs>
          <w:tab w:val="num" w:pos="3960"/>
        </w:tabs>
        <w:ind w:left="3960" w:hanging="360"/>
      </w:pPr>
      <w:rPr>
        <w:rFonts w:ascii="Arial" w:hAnsi="Arial" w:hint="default"/>
      </w:rPr>
    </w:lvl>
    <w:lvl w:ilvl="6" w:tplc="0A1E7848" w:tentative="1">
      <w:start w:val="1"/>
      <w:numFmt w:val="bullet"/>
      <w:lvlText w:val="•"/>
      <w:lvlJc w:val="left"/>
      <w:pPr>
        <w:tabs>
          <w:tab w:val="num" w:pos="4680"/>
        </w:tabs>
        <w:ind w:left="4680" w:hanging="360"/>
      </w:pPr>
      <w:rPr>
        <w:rFonts w:ascii="Arial" w:hAnsi="Arial" w:hint="default"/>
      </w:rPr>
    </w:lvl>
    <w:lvl w:ilvl="7" w:tplc="E912181A" w:tentative="1">
      <w:start w:val="1"/>
      <w:numFmt w:val="bullet"/>
      <w:lvlText w:val="•"/>
      <w:lvlJc w:val="left"/>
      <w:pPr>
        <w:tabs>
          <w:tab w:val="num" w:pos="5400"/>
        </w:tabs>
        <w:ind w:left="5400" w:hanging="360"/>
      </w:pPr>
      <w:rPr>
        <w:rFonts w:ascii="Arial" w:hAnsi="Arial" w:hint="default"/>
      </w:rPr>
    </w:lvl>
    <w:lvl w:ilvl="8" w:tplc="E12A8A7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9142C86"/>
    <w:multiLevelType w:val="hybridMultilevel"/>
    <w:tmpl w:val="009A50C0"/>
    <w:lvl w:ilvl="0" w:tplc="66065E7A">
      <w:start w:val="1"/>
      <w:numFmt w:val="bullet"/>
      <w:pStyle w:val="DHBulletlist"/>
      <w:lvlText w:val=""/>
      <w:lvlJc w:val="left"/>
      <w:pPr>
        <w:tabs>
          <w:tab w:val="num" w:pos="360"/>
        </w:tabs>
        <w:ind w:left="360" w:hanging="360"/>
      </w:pPr>
      <w:rPr>
        <w:rFonts w:ascii="Symbol" w:hAnsi="Symbol" w:hint="default"/>
        <w:color w:val="00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101FCB"/>
    <w:multiLevelType w:val="hybridMultilevel"/>
    <w:tmpl w:val="AE3A6F08"/>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901A3D"/>
    <w:multiLevelType w:val="hybridMultilevel"/>
    <w:tmpl w:val="926EE8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4D6F7A"/>
    <w:multiLevelType w:val="hybridMultilevel"/>
    <w:tmpl w:val="B84A7338"/>
    <w:lvl w:ilvl="0" w:tplc="4478FC4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CB7B80"/>
    <w:multiLevelType w:val="hybridMultilevel"/>
    <w:tmpl w:val="8B884C5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4458233">
    <w:abstractNumId w:val="5"/>
  </w:num>
  <w:num w:numId="2" w16cid:durableId="590702750">
    <w:abstractNumId w:val="10"/>
  </w:num>
  <w:num w:numId="3" w16cid:durableId="1239486280">
    <w:abstractNumId w:val="9"/>
  </w:num>
  <w:num w:numId="4" w16cid:durableId="1983732836">
    <w:abstractNumId w:val="13"/>
  </w:num>
  <w:num w:numId="5" w16cid:durableId="905067365">
    <w:abstractNumId w:val="4"/>
  </w:num>
  <w:num w:numId="6" w16cid:durableId="1310093017">
    <w:abstractNumId w:val="1"/>
  </w:num>
  <w:num w:numId="7" w16cid:durableId="1248344158">
    <w:abstractNumId w:val="8"/>
  </w:num>
  <w:num w:numId="8" w16cid:durableId="438724575">
    <w:abstractNumId w:val="6"/>
  </w:num>
  <w:num w:numId="9" w16cid:durableId="297876573">
    <w:abstractNumId w:val="2"/>
  </w:num>
  <w:num w:numId="10" w16cid:durableId="2001083624">
    <w:abstractNumId w:val="7"/>
  </w:num>
  <w:num w:numId="11" w16cid:durableId="1502575501">
    <w:abstractNumId w:val="0"/>
  </w:num>
  <w:num w:numId="12" w16cid:durableId="635061152">
    <w:abstractNumId w:val="3"/>
  </w:num>
  <w:num w:numId="13" w16cid:durableId="1142118696">
    <w:abstractNumId w:val="11"/>
  </w:num>
  <w:num w:numId="14" w16cid:durableId="371925127">
    <w:abstractNumId w:val="14"/>
  </w:num>
  <w:num w:numId="15" w16cid:durableId="40849896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90"/>
    <w:rsid w:val="00014D56"/>
    <w:rsid w:val="00016CD0"/>
    <w:rsid w:val="000174FD"/>
    <w:rsid w:val="000408FF"/>
    <w:rsid w:val="000449FD"/>
    <w:rsid w:val="00054187"/>
    <w:rsid w:val="00057A75"/>
    <w:rsid w:val="00066DA8"/>
    <w:rsid w:val="0007156F"/>
    <w:rsid w:val="00083C08"/>
    <w:rsid w:val="00085958"/>
    <w:rsid w:val="00092166"/>
    <w:rsid w:val="000940CC"/>
    <w:rsid w:val="00095F6F"/>
    <w:rsid w:val="00097E0C"/>
    <w:rsid w:val="000A7F7F"/>
    <w:rsid w:val="000B5672"/>
    <w:rsid w:val="000B608B"/>
    <w:rsid w:val="000C1405"/>
    <w:rsid w:val="000C4E9D"/>
    <w:rsid w:val="000D1535"/>
    <w:rsid w:val="000D3B9A"/>
    <w:rsid w:val="000D59A0"/>
    <w:rsid w:val="000E46C6"/>
    <w:rsid w:val="000E4E4C"/>
    <w:rsid w:val="000F7C33"/>
    <w:rsid w:val="0010012D"/>
    <w:rsid w:val="001026CE"/>
    <w:rsid w:val="00107B29"/>
    <w:rsid w:val="00114885"/>
    <w:rsid w:val="00115A6A"/>
    <w:rsid w:val="001304EE"/>
    <w:rsid w:val="0013519C"/>
    <w:rsid w:val="00136091"/>
    <w:rsid w:val="00140948"/>
    <w:rsid w:val="0014236C"/>
    <w:rsid w:val="00143200"/>
    <w:rsid w:val="00144C89"/>
    <w:rsid w:val="0014583B"/>
    <w:rsid w:val="00152AB0"/>
    <w:rsid w:val="0015715A"/>
    <w:rsid w:val="00157D00"/>
    <w:rsid w:val="00161262"/>
    <w:rsid w:val="00162DC1"/>
    <w:rsid w:val="0016417A"/>
    <w:rsid w:val="001678F9"/>
    <w:rsid w:val="001723C9"/>
    <w:rsid w:val="00174BA9"/>
    <w:rsid w:val="00175E4C"/>
    <w:rsid w:val="0018262D"/>
    <w:rsid w:val="00185619"/>
    <w:rsid w:val="001866A7"/>
    <w:rsid w:val="0019209A"/>
    <w:rsid w:val="00194B51"/>
    <w:rsid w:val="001B4BE5"/>
    <w:rsid w:val="001B50AB"/>
    <w:rsid w:val="001B5CC8"/>
    <w:rsid w:val="001C0105"/>
    <w:rsid w:val="001D3571"/>
    <w:rsid w:val="001D63EE"/>
    <w:rsid w:val="001E1D38"/>
    <w:rsid w:val="001E23BD"/>
    <w:rsid w:val="001E629C"/>
    <w:rsid w:val="001E7004"/>
    <w:rsid w:val="00201A1A"/>
    <w:rsid w:val="00201F18"/>
    <w:rsid w:val="0020451A"/>
    <w:rsid w:val="00205246"/>
    <w:rsid w:val="002057B2"/>
    <w:rsid w:val="00210602"/>
    <w:rsid w:val="00232DEB"/>
    <w:rsid w:val="0024360E"/>
    <w:rsid w:val="002439D6"/>
    <w:rsid w:val="002539E1"/>
    <w:rsid w:val="00254941"/>
    <w:rsid w:val="002601CE"/>
    <w:rsid w:val="00271B0F"/>
    <w:rsid w:val="0028401E"/>
    <w:rsid w:val="00290535"/>
    <w:rsid w:val="00292B60"/>
    <w:rsid w:val="002A3323"/>
    <w:rsid w:val="002A463D"/>
    <w:rsid w:val="002B68C8"/>
    <w:rsid w:val="002B7EC3"/>
    <w:rsid w:val="002C0731"/>
    <w:rsid w:val="002C0A02"/>
    <w:rsid w:val="002C2E35"/>
    <w:rsid w:val="002D2A28"/>
    <w:rsid w:val="002D6FD6"/>
    <w:rsid w:val="002E2612"/>
    <w:rsid w:val="002E4030"/>
    <w:rsid w:val="002F0C49"/>
    <w:rsid w:val="002F6529"/>
    <w:rsid w:val="00302333"/>
    <w:rsid w:val="00307092"/>
    <w:rsid w:val="00311D94"/>
    <w:rsid w:val="00313A24"/>
    <w:rsid w:val="00315ED6"/>
    <w:rsid w:val="00323F24"/>
    <w:rsid w:val="00326472"/>
    <w:rsid w:val="00335B32"/>
    <w:rsid w:val="00340BA6"/>
    <w:rsid w:val="0035009B"/>
    <w:rsid w:val="00352E16"/>
    <w:rsid w:val="00353749"/>
    <w:rsid w:val="003558C9"/>
    <w:rsid w:val="00357B1E"/>
    <w:rsid w:val="00361377"/>
    <w:rsid w:val="00374790"/>
    <w:rsid w:val="0037670C"/>
    <w:rsid w:val="00380F5A"/>
    <w:rsid w:val="00383E13"/>
    <w:rsid w:val="00384331"/>
    <w:rsid w:val="003846CD"/>
    <w:rsid w:val="00393ABB"/>
    <w:rsid w:val="00396972"/>
    <w:rsid w:val="003A0B90"/>
    <w:rsid w:val="003A158F"/>
    <w:rsid w:val="003A5D13"/>
    <w:rsid w:val="003A73C0"/>
    <w:rsid w:val="003C171A"/>
    <w:rsid w:val="003C492E"/>
    <w:rsid w:val="003D2D2F"/>
    <w:rsid w:val="003D2E80"/>
    <w:rsid w:val="003D3AC9"/>
    <w:rsid w:val="003D7DFE"/>
    <w:rsid w:val="003E052E"/>
    <w:rsid w:val="003E0FCA"/>
    <w:rsid w:val="003E28A6"/>
    <w:rsid w:val="003E4FB4"/>
    <w:rsid w:val="003E5E1E"/>
    <w:rsid w:val="003F49BA"/>
    <w:rsid w:val="00401B76"/>
    <w:rsid w:val="00405194"/>
    <w:rsid w:val="00412C75"/>
    <w:rsid w:val="00415CA7"/>
    <w:rsid w:val="00416EA4"/>
    <w:rsid w:val="00417AEC"/>
    <w:rsid w:val="00423297"/>
    <w:rsid w:val="00432F95"/>
    <w:rsid w:val="004350C0"/>
    <w:rsid w:val="004371DE"/>
    <w:rsid w:val="00442041"/>
    <w:rsid w:val="00442F27"/>
    <w:rsid w:val="00443B92"/>
    <w:rsid w:val="00446652"/>
    <w:rsid w:val="00450A91"/>
    <w:rsid w:val="004511C8"/>
    <w:rsid w:val="0045127E"/>
    <w:rsid w:val="00451E0B"/>
    <w:rsid w:val="004708A2"/>
    <w:rsid w:val="00470B25"/>
    <w:rsid w:val="004761F5"/>
    <w:rsid w:val="0048672E"/>
    <w:rsid w:val="00490B60"/>
    <w:rsid w:val="00492922"/>
    <w:rsid w:val="00494835"/>
    <w:rsid w:val="00496840"/>
    <w:rsid w:val="004A48F7"/>
    <w:rsid w:val="004A55E8"/>
    <w:rsid w:val="004A7F35"/>
    <w:rsid w:val="004B02C3"/>
    <w:rsid w:val="004D091E"/>
    <w:rsid w:val="004D2CFD"/>
    <w:rsid w:val="004D2E2C"/>
    <w:rsid w:val="004D610D"/>
    <w:rsid w:val="004E05DD"/>
    <w:rsid w:val="004E1178"/>
    <w:rsid w:val="004E6712"/>
    <w:rsid w:val="004F6A45"/>
    <w:rsid w:val="00500F59"/>
    <w:rsid w:val="00502A35"/>
    <w:rsid w:val="0050520B"/>
    <w:rsid w:val="005058F3"/>
    <w:rsid w:val="00505F91"/>
    <w:rsid w:val="005072ED"/>
    <w:rsid w:val="00521953"/>
    <w:rsid w:val="00527475"/>
    <w:rsid w:val="0053432B"/>
    <w:rsid w:val="00545DA0"/>
    <w:rsid w:val="0054626B"/>
    <w:rsid w:val="00547C8B"/>
    <w:rsid w:val="00561F7D"/>
    <w:rsid w:val="0057401D"/>
    <w:rsid w:val="005754BF"/>
    <w:rsid w:val="00583BD0"/>
    <w:rsid w:val="00583F75"/>
    <w:rsid w:val="00587845"/>
    <w:rsid w:val="005900AE"/>
    <w:rsid w:val="00591B39"/>
    <w:rsid w:val="005927BB"/>
    <w:rsid w:val="005938D7"/>
    <w:rsid w:val="005A094F"/>
    <w:rsid w:val="005B3196"/>
    <w:rsid w:val="005C667E"/>
    <w:rsid w:val="005C686F"/>
    <w:rsid w:val="005D10B0"/>
    <w:rsid w:val="005D1CCD"/>
    <w:rsid w:val="005D3261"/>
    <w:rsid w:val="005F0B26"/>
    <w:rsid w:val="005F36AA"/>
    <w:rsid w:val="00600027"/>
    <w:rsid w:val="00600D61"/>
    <w:rsid w:val="00600E2C"/>
    <w:rsid w:val="00605C43"/>
    <w:rsid w:val="0060782D"/>
    <w:rsid w:val="006201A8"/>
    <w:rsid w:val="006215E9"/>
    <w:rsid w:val="0062310F"/>
    <w:rsid w:val="006263B5"/>
    <w:rsid w:val="006307BA"/>
    <w:rsid w:val="00630B86"/>
    <w:rsid w:val="0063644A"/>
    <w:rsid w:val="00645901"/>
    <w:rsid w:val="006500BE"/>
    <w:rsid w:val="00653E10"/>
    <w:rsid w:val="006560D9"/>
    <w:rsid w:val="00676D86"/>
    <w:rsid w:val="006840A9"/>
    <w:rsid w:val="00694268"/>
    <w:rsid w:val="00695904"/>
    <w:rsid w:val="006A0FFA"/>
    <w:rsid w:val="006A5A46"/>
    <w:rsid w:val="006A6C78"/>
    <w:rsid w:val="006B7F7B"/>
    <w:rsid w:val="006C3CE8"/>
    <w:rsid w:val="006E029F"/>
    <w:rsid w:val="006E28DA"/>
    <w:rsid w:val="006F1F87"/>
    <w:rsid w:val="00706EF6"/>
    <w:rsid w:val="0071045E"/>
    <w:rsid w:val="007166FC"/>
    <w:rsid w:val="007214E5"/>
    <w:rsid w:val="00722A82"/>
    <w:rsid w:val="0074036E"/>
    <w:rsid w:val="00755B96"/>
    <w:rsid w:val="00760853"/>
    <w:rsid w:val="00760E39"/>
    <w:rsid w:val="00761230"/>
    <w:rsid w:val="007714B2"/>
    <w:rsid w:val="00773092"/>
    <w:rsid w:val="00774639"/>
    <w:rsid w:val="0078287B"/>
    <w:rsid w:val="007839D9"/>
    <w:rsid w:val="007850CE"/>
    <w:rsid w:val="00785DCB"/>
    <w:rsid w:val="00786C99"/>
    <w:rsid w:val="007877CB"/>
    <w:rsid w:val="00796690"/>
    <w:rsid w:val="007A4792"/>
    <w:rsid w:val="007A4B61"/>
    <w:rsid w:val="007A5A51"/>
    <w:rsid w:val="007A64C2"/>
    <w:rsid w:val="007B0FF8"/>
    <w:rsid w:val="007B155D"/>
    <w:rsid w:val="007B391C"/>
    <w:rsid w:val="007B4415"/>
    <w:rsid w:val="007B49F5"/>
    <w:rsid w:val="007B5F7C"/>
    <w:rsid w:val="007B7A90"/>
    <w:rsid w:val="007C12A0"/>
    <w:rsid w:val="007C226F"/>
    <w:rsid w:val="007C5768"/>
    <w:rsid w:val="007C7285"/>
    <w:rsid w:val="007D4C72"/>
    <w:rsid w:val="007E12BE"/>
    <w:rsid w:val="007E7927"/>
    <w:rsid w:val="007F3900"/>
    <w:rsid w:val="00804EEA"/>
    <w:rsid w:val="008056CE"/>
    <w:rsid w:val="008070DE"/>
    <w:rsid w:val="00813AC0"/>
    <w:rsid w:val="008162DE"/>
    <w:rsid w:val="00820158"/>
    <w:rsid w:val="00820E22"/>
    <w:rsid w:val="00821E8C"/>
    <w:rsid w:val="00822100"/>
    <w:rsid w:val="00831FB2"/>
    <w:rsid w:val="0084207B"/>
    <w:rsid w:val="0084490F"/>
    <w:rsid w:val="0085231E"/>
    <w:rsid w:val="0085259D"/>
    <w:rsid w:val="00854BA5"/>
    <w:rsid w:val="008552BE"/>
    <w:rsid w:val="00855CFE"/>
    <w:rsid w:val="00862EC4"/>
    <w:rsid w:val="00864DA9"/>
    <w:rsid w:val="00870640"/>
    <w:rsid w:val="00880108"/>
    <w:rsid w:val="008825C4"/>
    <w:rsid w:val="00890235"/>
    <w:rsid w:val="00896574"/>
    <w:rsid w:val="008A231D"/>
    <w:rsid w:val="008A298B"/>
    <w:rsid w:val="008A34FE"/>
    <w:rsid w:val="008A5DEF"/>
    <w:rsid w:val="008A602C"/>
    <w:rsid w:val="008A7185"/>
    <w:rsid w:val="008C107F"/>
    <w:rsid w:val="008C542F"/>
    <w:rsid w:val="008C5A14"/>
    <w:rsid w:val="008C7D6B"/>
    <w:rsid w:val="008D06B6"/>
    <w:rsid w:val="008D0763"/>
    <w:rsid w:val="008D1CC1"/>
    <w:rsid w:val="008D1E8C"/>
    <w:rsid w:val="008D235B"/>
    <w:rsid w:val="008D389C"/>
    <w:rsid w:val="008D489A"/>
    <w:rsid w:val="008E2FCA"/>
    <w:rsid w:val="008E31E3"/>
    <w:rsid w:val="008E32CE"/>
    <w:rsid w:val="008F49D1"/>
    <w:rsid w:val="008F5082"/>
    <w:rsid w:val="008F6540"/>
    <w:rsid w:val="009057EF"/>
    <w:rsid w:val="009115CF"/>
    <w:rsid w:val="00914D0B"/>
    <w:rsid w:val="00920AF3"/>
    <w:rsid w:val="00921141"/>
    <w:rsid w:val="00926FC1"/>
    <w:rsid w:val="0092707A"/>
    <w:rsid w:val="0093120E"/>
    <w:rsid w:val="00932407"/>
    <w:rsid w:val="009324CE"/>
    <w:rsid w:val="00942B2A"/>
    <w:rsid w:val="0094544D"/>
    <w:rsid w:val="00947830"/>
    <w:rsid w:val="00957ABF"/>
    <w:rsid w:val="00965D04"/>
    <w:rsid w:val="009673F5"/>
    <w:rsid w:val="009731D4"/>
    <w:rsid w:val="00980B10"/>
    <w:rsid w:val="0099246C"/>
    <w:rsid w:val="00994157"/>
    <w:rsid w:val="009A12F9"/>
    <w:rsid w:val="009A133D"/>
    <w:rsid w:val="009A4818"/>
    <w:rsid w:val="009B375B"/>
    <w:rsid w:val="009B7769"/>
    <w:rsid w:val="009D0E8D"/>
    <w:rsid w:val="009D4A4A"/>
    <w:rsid w:val="009D52BA"/>
    <w:rsid w:val="009D5E87"/>
    <w:rsid w:val="009E027D"/>
    <w:rsid w:val="009E0EC7"/>
    <w:rsid w:val="009E55A6"/>
    <w:rsid w:val="009F46DF"/>
    <w:rsid w:val="009F6EE2"/>
    <w:rsid w:val="009F740A"/>
    <w:rsid w:val="00A02515"/>
    <w:rsid w:val="00A03C85"/>
    <w:rsid w:val="00A0712A"/>
    <w:rsid w:val="00A13942"/>
    <w:rsid w:val="00A22A89"/>
    <w:rsid w:val="00A23EAA"/>
    <w:rsid w:val="00A26E5F"/>
    <w:rsid w:val="00A27FCD"/>
    <w:rsid w:val="00A35387"/>
    <w:rsid w:val="00A35DA5"/>
    <w:rsid w:val="00A46366"/>
    <w:rsid w:val="00A50EF2"/>
    <w:rsid w:val="00A50F39"/>
    <w:rsid w:val="00A514D2"/>
    <w:rsid w:val="00A53E51"/>
    <w:rsid w:val="00A53F53"/>
    <w:rsid w:val="00A6225A"/>
    <w:rsid w:val="00A7359A"/>
    <w:rsid w:val="00A75E5D"/>
    <w:rsid w:val="00A771BE"/>
    <w:rsid w:val="00A82635"/>
    <w:rsid w:val="00A8380E"/>
    <w:rsid w:val="00A869D0"/>
    <w:rsid w:val="00A90A1B"/>
    <w:rsid w:val="00A90AA9"/>
    <w:rsid w:val="00AA17B0"/>
    <w:rsid w:val="00AA6ADB"/>
    <w:rsid w:val="00AB501B"/>
    <w:rsid w:val="00AC4903"/>
    <w:rsid w:val="00AD4F57"/>
    <w:rsid w:val="00AE0E5B"/>
    <w:rsid w:val="00AE2FF6"/>
    <w:rsid w:val="00AE5439"/>
    <w:rsid w:val="00AF202D"/>
    <w:rsid w:val="00AF6BED"/>
    <w:rsid w:val="00AF73EB"/>
    <w:rsid w:val="00B0099D"/>
    <w:rsid w:val="00B16EB4"/>
    <w:rsid w:val="00B2130B"/>
    <w:rsid w:val="00B266BE"/>
    <w:rsid w:val="00B316B6"/>
    <w:rsid w:val="00B32C10"/>
    <w:rsid w:val="00B3511F"/>
    <w:rsid w:val="00B41668"/>
    <w:rsid w:val="00B45721"/>
    <w:rsid w:val="00B50B27"/>
    <w:rsid w:val="00B564B5"/>
    <w:rsid w:val="00B74C72"/>
    <w:rsid w:val="00B74CA7"/>
    <w:rsid w:val="00B80B1A"/>
    <w:rsid w:val="00B8280C"/>
    <w:rsid w:val="00B83595"/>
    <w:rsid w:val="00B87580"/>
    <w:rsid w:val="00B975A3"/>
    <w:rsid w:val="00BA36B0"/>
    <w:rsid w:val="00BA4576"/>
    <w:rsid w:val="00BA4D0E"/>
    <w:rsid w:val="00BB592D"/>
    <w:rsid w:val="00BB5AEE"/>
    <w:rsid w:val="00BB706F"/>
    <w:rsid w:val="00BC1D83"/>
    <w:rsid w:val="00BC2704"/>
    <w:rsid w:val="00BC38DE"/>
    <w:rsid w:val="00BC5603"/>
    <w:rsid w:val="00BC5AE3"/>
    <w:rsid w:val="00BC7C46"/>
    <w:rsid w:val="00BD1338"/>
    <w:rsid w:val="00BD4E8C"/>
    <w:rsid w:val="00BE16CC"/>
    <w:rsid w:val="00BE7EE9"/>
    <w:rsid w:val="00BF28AF"/>
    <w:rsid w:val="00BF5463"/>
    <w:rsid w:val="00BF60E4"/>
    <w:rsid w:val="00C00C73"/>
    <w:rsid w:val="00C06030"/>
    <w:rsid w:val="00C12A85"/>
    <w:rsid w:val="00C272F0"/>
    <w:rsid w:val="00C3010C"/>
    <w:rsid w:val="00C30401"/>
    <w:rsid w:val="00C3166B"/>
    <w:rsid w:val="00C34964"/>
    <w:rsid w:val="00C35C77"/>
    <w:rsid w:val="00C40259"/>
    <w:rsid w:val="00C42465"/>
    <w:rsid w:val="00C452A5"/>
    <w:rsid w:val="00C47C5B"/>
    <w:rsid w:val="00C66995"/>
    <w:rsid w:val="00C671AE"/>
    <w:rsid w:val="00C67D88"/>
    <w:rsid w:val="00C70207"/>
    <w:rsid w:val="00C77BDA"/>
    <w:rsid w:val="00C86E75"/>
    <w:rsid w:val="00C91D67"/>
    <w:rsid w:val="00CA0216"/>
    <w:rsid w:val="00CA0352"/>
    <w:rsid w:val="00CA487B"/>
    <w:rsid w:val="00CA75B5"/>
    <w:rsid w:val="00CC0717"/>
    <w:rsid w:val="00CD110E"/>
    <w:rsid w:val="00CD1DA6"/>
    <w:rsid w:val="00CD74C5"/>
    <w:rsid w:val="00CE29F1"/>
    <w:rsid w:val="00CE3998"/>
    <w:rsid w:val="00CF572D"/>
    <w:rsid w:val="00D0156F"/>
    <w:rsid w:val="00D104B6"/>
    <w:rsid w:val="00D148DF"/>
    <w:rsid w:val="00D17846"/>
    <w:rsid w:val="00D228EC"/>
    <w:rsid w:val="00D412E6"/>
    <w:rsid w:val="00D43109"/>
    <w:rsid w:val="00D44B94"/>
    <w:rsid w:val="00D44E08"/>
    <w:rsid w:val="00D65F72"/>
    <w:rsid w:val="00D72F5C"/>
    <w:rsid w:val="00D75055"/>
    <w:rsid w:val="00D76EDB"/>
    <w:rsid w:val="00D82B50"/>
    <w:rsid w:val="00DA0336"/>
    <w:rsid w:val="00DA11E9"/>
    <w:rsid w:val="00DA2237"/>
    <w:rsid w:val="00DB0380"/>
    <w:rsid w:val="00DB0EBD"/>
    <w:rsid w:val="00DB2029"/>
    <w:rsid w:val="00DB7C00"/>
    <w:rsid w:val="00DC6F42"/>
    <w:rsid w:val="00DC72C3"/>
    <w:rsid w:val="00DD229B"/>
    <w:rsid w:val="00DD5522"/>
    <w:rsid w:val="00DE7772"/>
    <w:rsid w:val="00DF1143"/>
    <w:rsid w:val="00DF1517"/>
    <w:rsid w:val="00DF261B"/>
    <w:rsid w:val="00DF58B6"/>
    <w:rsid w:val="00E07272"/>
    <w:rsid w:val="00E07634"/>
    <w:rsid w:val="00E135E7"/>
    <w:rsid w:val="00E153F1"/>
    <w:rsid w:val="00E223E0"/>
    <w:rsid w:val="00E224BF"/>
    <w:rsid w:val="00E23039"/>
    <w:rsid w:val="00E24D82"/>
    <w:rsid w:val="00E33C70"/>
    <w:rsid w:val="00E33DAB"/>
    <w:rsid w:val="00E34B2D"/>
    <w:rsid w:val="00E41981"/>
    <w:rsid w:val="00E429B0"/>
    <w:rsid w:val="00E44520"/>
    <w:rsid w:val="00E50A91"/>
    <w:rsid w:val="00E608BB"/>
    <w:rsid w:val="00E60AE7"/>
    <w:rsid w:val="00E61689"/>
    <w:rsid w:val="00E65511"/>
    <w:rsid w:val="00E742F6"/>
    <w:rsid w:val="00E76ADD"/>
    <w:rsid w:val="00E77233"/>
    <w:rsid w:val="00E826B3"/>
    <w:rsid w:val="00E866B3"/>
    <w:rsid w:val="00E86ED1"/>
    <w:rsid w:val="00E9126A"/>
    <w:rsid w:val="00E9720E"/>
    <w:rsid w:val="00EA5749"/>
    <w:rsid w:val="00EB09F4"/>
    <w:rsid w:val="00EB0B0C"/>
    <w:rsid w:val="00EC0E67"/>
    <w:rsid w:val="00EC20E1"/>
    <w:rsid w:val="00EC3598"/>
    <w:rsid w:val="00EC4B10"/>
    <w:rsid w:val="00EC62FA"/>
    <w:rsid w:val="00EC79E9"/>
    <w:rsid w:val="00ED69B3"/>
    <w:rsid w:val="00EE1A3C"/>
    <w:rsid w:val="00EE5383"/>
    <w:rsid w:val="00F00B7C"/>
    <w:rsid w:val="00F017EE"/>
    <w:rsid w:val="00F06FD8"/>
    <w:rsid w:val="00F3058D"/>
    <w:rsid w:val="00F35330"/>
    <w:rsid w:val="00F459F6"/>
    <w:rsid w:val="00F461EE"/>
    <w:rsid w:val="00F476E3"/>
    <w:rsid w:val="00F504F6"/>
    <w:rsid w:val="00F53943"/>
    <w:rsid w:val="00F54533"/>
    <w:rsid w:val="00F61184"/>
    <w:rsid w:val="00F67361"/>
    <w:rsid w:val="00F708E3"/>
    <w:rsid w:val="00F776E3"/>
    <w:rsid w:val="00F8178C"/>
    <w:rsid w:val="00F83557"/>
    <w:rsid w:val="00F85105"/>
    <w:rsid w:val="00F94621"/>
    <w:rsid w:val="00FB35CD"/>
    <w:rsid w:val="00FB467B"/>
    <w:rsid w:val="00FB4890"/>
    <w:rsid w:val="00FC02DA"/>
    <w:rsid w:val="00FC5FC6"/>
    <w:rsid w:val="00FC6C59"/>
    <w:rsid w:val="00FD01AF"/>
    <w:rsid w:val="00FD180B"/>
    <w:rsid w:val="00FD5B73"/>
    <w:rsid w:val="00FE5AEA"/>
    <w:rsid w:val="00FE6526"/>
    <w:rsid w:val="00FF2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1DDCB"/>
  <w15:docId w15:val="{5C894376-405A-4DC8-9505-B28DF908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uiPriority w:val="9"/>
    <w:qFormat/>
    <w:rsid w:val="00CD74C5"/>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DC6F42"/>
    <w:pPr>
      <w:keepNext/>
      <w:keepLines/>
      <w:spacing w:before="200"/>
      <w:outlineLvl w:val="1"/>
    </w:pPr>
    <w:rPr>
      <w:rFonts w:ascii="Cambria" w:hAnsi="Cambria" w:cs="Times New Roman"/>
      <w:b/>
      <w:bCs/>
      <w:color w:val="4F81BD"/>
      <w:sz w:val="26"/>
      <w:szCs w:val="26"/>
    </w:rPr>
  </w:style>
  <w:style w:type="paragraph" w:styleId="Heading5">
    <w:name w:val="heading 5"/>
    <w:basedOn w:val="Normal"/>
    <w:next w:val="Normal"/>
    <w:link w:val="Heading5Char"/>
    <w:semiHidden/>
    <w:unhideWhenUsed/>
    <w:qFormat/>
    <w:rsid w:val="001E1D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48DF"/>
    <w:pPr>
      <w:tabs>
        <w:tab w:val="center" w:pos="4153"/>
        <w:tab w:val="right" w:pos="8306"/>
      </w:tabs>
    </w:pPr>
  </w:style>
  <w:style w:type="paragraph" w:styleId="Footer">
    <w:name w:val="footer"/>
    <w:basedOn w:val="Normal"/>
    <w:link w:val="FooterChar"/>
    <w:rsid w:val="00D148DF"/>
    <w:pPr>
      <w:tabs>
        <w:tab w:val="center" w:pos="4153"/>
        <w:tab w:val="right" w:pos="8306"/>
      </w:tabs>
    </w:pPr>
  </w:style>
  <w:style w:type="table" w:styleId="TableGrid">
    <w:name w:val="Table Grid"/>
    <w:basedOn w:val="TableNormal"/>
    <w:uiPriority w:val="59"/>
    <w:rsid w:val="00D14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27475"/>
    <w:rPr>
      <w:rFonts w:ascii="Arial" w:hAnsi="Arial" w:cs="Arial"/>
      <w:sz w:val="24"/>
      <w:szCs w:val="24"/>
    </w:rPr>
  </w:style>
  <w:style w:type="paragraph" w:styleId="BalloonText">
    <w:name w:val="Balloon Text"/>
    <w:basedOn w:val="Normal"/>
    <w:link w:val="BalloonTextChar"/>
    <w:rsid w:val="00AE0E5B"/>
    <w:rPr>
      <w:rFonts w:ascii="Tahoma" w:hAnsi="Tahoma" w:cs="Tahoma"/>
      <w:sz w:val="16"/>
      <w:szCs w:val="16"/>
    </w:rPr>
  </w:style>
  <w:style w:type="character" w:customStyle="1" w:styleId="BalloonTextChar">
    <w:name w:val="Balloon Text Char"/>
    <w:link w:val="BalloonText"/>
    <w:rsid w:val="00AE0E5B"/>
    <w:rPr>
      <w:rFonts w:ascii="Tahoma" w:hAnsi="Tahoma" w:cs="Tahoma"/>
      <w:sz w:val="16"/>
      <w:szCs w:val="16"/>
    </w:rPr>
  </w:style>
  <w:style w:type="paragraph" w:customStyle="1" w:styleId="Heading2NoOutline">
    <w:name w:val="Heading 2 (No Outline)"/>
    <w:basedOn w:val="Heading2"/>
    <w:next w:val="Normal"/>
    <w:rsid w:val="00DC6F42"/>
    <w:pPr>
      <w:keepLines w:val="0"/>
      <w:shd w:val="clear" w:color="auto" w:fill="569E95"/>
      <w:spacing w:before="240" w:after="120"/>
    </w:pPr>
    <w:rPr>
      <w:rFonts w:ascii="Arial" w:hAnsi="Arial"/>
      <w:color w:val="FFFFFF"/>
      <w:sz w:val="24"/>
      <w:szCs w:val="20"/>
    </w:rPr>
  </w:style>
  <w:style w:type="character" w:customStyle="1" w:styleId="Heading2Char">
    <w:name w:val="Heading 2 Char"/>
    <w:link w:val="Heading2"/>
    <w:uiPriority w:val="9"/>
    <w:rsid w:val="00DC6F42"/>
    <w:rPr>
      <w:rFonts w:ascii="Cambria" w:eastAsia="Times New Roman" w:hAnsi="Cambria" w:cs="Times New Roman"/>
      <w:b/>
      <w:bCs/>
      <w:color w:val="4F81BD"/>
      <w:sz w:val="26"/>
      <w:szCs w:val="26"/>
    </w:rPr>
  </w:style>
  <w:style w:type="character" w:styleId="CommentReference">
    <w:name w:val="annotation reference"/>
    <w:rsid w:val="00C3166B"/>
    <w:rPr>
      <w:sz w:val="16"/>
      <w:szCs w:val="16"/>
    </w:rPr>
  </w:style>
  <w:style w:type="paragraph" w:styleId="CommentText">
    <w:name w:val="annotation text"/>
    <w:basedOn w:val="Normal"/>
    <w:link w:val="CommentTextChar"/>
    <w:rsid w:val="00C3166B"/>
    <w:rPr>
      <w:sz w:val="20"/>
      <w:szCs w:val="20"/>
    </w:rPr>
  </w:style>
  <w:style w:type="character" w:customStyle="1" w:styleId="CommentTextChar">
    <w:name w:val="Comment Text Char"/>
    <w:link w:val="CommentText"/>
    <w:rsid w:val="00C3166B"/>
    <w:rPr>
      <w:rFonts w:ascii="Arial" w:hAnsi="Arial" w:cs="Arial"/>
    </w:rPr>
  </w:style>
  <w:style w:type="paragraph" w:styleId="CommentSubject">
    <w:name w:val="annotation subject"/>
    <w:basedOn w:val="CommentText"/>
    <w:next w:val="CommentText"/>
    <w:link w:val="CommentSubjectChar"/>
    <w:rsid w:val="00C3166B"/>
    <w:rPr>
      <w:b/>
      <w:bCs/>
    </w:rPr>
  </w:style>
  <w:style w:type="character" w:customStyle="1" w:styleId="CommentSubjectChar">
    <w:name w:val="Comment Subject Char"/>
    <w:link w:val="CommentSubject"/>
    <w:rsid w:val="00C3166B"/>
    <w:rPr>
      <w:rFonts w:ascii="Arial" w:hAnsi="Arial" w:cs="Arial"/>
      <w:b/>
      <w:bCs/>
    </w:rPr>
  </w:style>
  <w:style w:type="paragraph" w:styleId="Revision">
    <w:name w:val="Revision"/>
    <w:hidden/>
    <w:uiPriority w:val="99"/>
    <w:semiHidden/>
    <w:rsid w:val="00C3166B"/>
    <w:rPr>
      <w:rFonts w:ascii="Arial" w:hAnsi="Arial" w:cs="Arial"/>
      <w:sz w:val="24"/>
      <w:szCs w:val="24"/>
    </w:rPr>
  </w:style>
  <w:style w:type="paragraph" w:styleId="FootnoteText">
    <w:name w:val="footnote text"/>
    <w:basedOn w:val="Normal"/>
    <w:link w:val="FootnoteTextChar"/>
    <w:rsid w:val="00695904"/>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rsid w:val="00695904"/>
    <w:rPr>
      <w:lang w:eastAsia="en-US"/>
    </w:rPr>
  </w:style>
  <w:style w:type="character" w:styleId="FootnoteReference">
    <w:name w:val="footnote reference"/>
    <w:rsid w:val="00695904"/>
    <w:rPr>
      <w:vertAlign w:val="superscript"/>
    </w:rPr>
  </w:style>
  <w:style w:type="paragraph" w:customStyle="1" w:styleId="Default">
    <w:name w:val="Default"/>
    <w:rsid w:val="003D7DF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67D88"/>
    <w:pPr>
      <w:ind w:left="720"/>
      <w:contextualSpacing/>
    </w:pPr>
  </w:style>
  <w:style w:type="paragraph" w:styleId="NormalWeb">
    <w:name w:val="Normal (Web)"/>
    <w:basedOn w:val="Normal"/>
    <w:uiPriority w:val="99"/>
    <w:unhideWhenUsed/>
    <w:rsid w:val="00DC72C3"/>
    <w:pPr>
      <w:spacing w:after="1"/>
    </w:pPr>
    <w:rPr>
      <w:rFonts w:ascii="Times New Roman" w:hAnsi="Times New Roman" w:cs="Times New Roman"/>
    </w:rPr>
  </w:style>
  <w:style w:type="paragraph" w:styleId="BodyText">
    <w:name w:val="Body Text"/>
    <w:basedOn w:val="Normal"/>
    <w:link w:val="BodyTextChar"/>
    <w:uiPriority w:val="1"/>
    <w:qFormat/>
    <w:rsid w:val="00BB592D"/>
    <w:pPr>
      <w:autoSpaceDE w:val="0"/>
      <w:autoSpaceDN w:val="0"/>
      <w:adjustRightInd w:val="0"/>
    </w:pPr>
    <w:rPr>
      <w:rFonts w:ascii="Times New Roman" w:hAnsi="Times New Roman" w:cs="Times New Roman"/>
      <w:szCs w:val="22"/>
      <w:lang w:val="en-US" w:eastAsia="en-US"/>
    </w:rPr>
  </w:style>
  <w:style w:type="character" w:customStyle="1" w:styleId="BodyTextChar">
    <w:name w:val="Body Text Char"/>
    <w:basedOn w:val="DefaultParagraphFont"/>
    <w:link w:val="BodyText"/>
    <w:uiPriority w:val="1"/>
    <w:rsid w:val="00BB592D"/>
    <w:rPr>
      <w:sz w:val="24"/>
      <w:szCs w:val="22"/>
      <w:lang w:val="en-US" w:eastAsia="en-US"/>
    </w:rPr>
  </w:style>
  <w:style w:type="character" w:customStyle="1" w:styleId="Heading5Char">
    <w:name w:val="Heading 5 Char"/>
    <w:basedOn w:val="DefaultParagraphFont"/>
    <w:link w:val="Heading5"/>
    <w:semiHidden/>
    <w:rsid w:val="001E1D3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866B3"/>
    <w:rPr>
      <w:color w:val="0000FF" w:themeColor="hyperlink"/>
      <w:u w:val="single"/>
    </w:rPr>
  </w:style>
  <w:style w:type="character" w:customStyle="1" w:styleId="DHSecondaryHeadingOneChar">
    <w:name w:val="DH Secondary Heading One Char"/>
    <w:link w:val="DHSecondaryHeadingOne"/>
    <w:locked/>
    <w:rsid w:val="00E50A91"/>
    <w:rPr>
      <w:rFonts w:ascii="Arial" w:hAnsi="Arial"/>
      <w:color w:val="009966"/>
      <w:sz w:val="28"/>
    </w:rPr>
  </w:style>
  <w:style w:type="paragraph" w:customStyle="1" w:styleId="DHSecondaryHeadingOne">
    <w:name w:val="DH Secondary Heading One"/>
    <w:basedOn w:val="Normal"/>
    <w:link w:val="DHSecondaryHeadingOneChar"/>
    <w:rsid w:val="00E50A91"/>
    <w:pPr>
      <w:spacing w:line="360" w:lineRule="exact"/>
    </w:pPr>
    <w:rPr>
      <w:rFonts w:cs="Times New Roman"/>
      <w:color w:val="009966"/>
      <w:sz w:val="28"/>
      <w:szCs w:val="20"/>
    </w:rPr>
  </w:style>
  <w:style w:type="character" w:customStyle="1" w:styleId="FooterChar">
    <w:name w:val="Footer Char"/>
    <w:basedOn w:val="DefaultParagraphFont"/>
    <w:link w:val="Footer"/>
    <w:rsid w:val="009F740A"/>
    <w:rPr>
      <w:rFonts w:ascii="Arial" w:hAnsi="Arial" w:cs="Arial"/>
      <w:sz w:val="24"/>
      <w:szCs w:val="24"/>
    </w:rPr>
  </w:style>
  <w:style w:type="paragraph" w:customStyle="1" w:styleId="DHBulletlist">
    <w:name w:val="DH Bullet list"/>
    <w:basedOn w:val="Normal"/>
    <w:rsid w:val="0074036E"/>
    <w:pPr>
      <w:numPr>
        <w:numId w:val="2"/>
      </w:numPr>
      <w:spacing w:line="320" w:lineRule="exact"/>
    </w:pPr>
    <w:rPr>
      <w:rFonts w:cs="Times New Roman"/>
      <w:szCs w:val="20"/>
      <w:lang w:eastAsia="en-US"/>
    </w:rPr>
  </w:style>
  <w:style w:type="character" w:customStyle="1" w:styleId="Heading1Char">
    <w:name w:val="Heading 1 Char"/>
    <w:basedOn w:val="DefaultParagraphFont"/>
    <w:link w:val="Heading1"/>
    <w:uiPriority w:val="9"/>
    <w:rsid w:val="00FE6526"/>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4339">
      <w:bodyDiv w:val="1"/>
      <w:marLeft w:val="0"/>
      <w:marRight w:val="0"/>
      <w:marTop w:val="0"/>
      <w:marBottom w:val="0"/>
      <w:divBdr>
        <w:top w:val="none" w:sz="0" w:space="0" w:color="auto"/>
        <w:left w:val="none" w:sz="0" w:space="0" w:color="auto"/>
        <w:bottom w:val="none" w:sz="0" w:space="0" w:color="auto"/>
        <w:right w:val="none" w:sz="0" w:space="0" w:color="auto"/>
      </w:divBdr>
    </w:div>
    <w:div w:id="169180086">
      <w:bodyDiv w:val="1"/>
      <w:marLeft w:val="0"/>
      <w:marRight w:val="0"/>
      <w:marTop w:val="0"/>
      <w:marBottom w:val="0"/>
      <w:divBdr>
        <w:top w:val="none" w:sz="0" w:space="0" w:color="auto"/>
        <w:left w:val="none" w:sz="0" w:space="0" w:color="auto"/>
        <w:bottom w:val="none" w:sz="0" w:space="0" w:color="auto"/>
        <w:right w:val="none" w:sz="0" w:space="0" w:color="auto"/>
      </w:divBdr>
    </w:div>
    <w:div w:id="797529750">
      <w:bodyDiv w:val="1"/>
      <w:marLeft w:val="0"/>
      <w:marRight w:val="0"/>
      <w:marTop w:val="0"/>
      <w:marBottom w:val="0"/>
      <w:divBdr>
        <w:top w:val="none" w:sz="0" w:space="0" w:color="auto"/>
        <w:left w:val="none" w:sz="0" w:space="0" w:color="auto"/>
        <w:bottom w:val="none" w:sz="0" w:space="0" w:color="auto"/>
        <w:right w:val="none" w:sz="0" w:space="0" w:color="auto"/>
      </w:divBdr>
    </w:div>
    <w:div w:id="845747143">
      <w:bodyDiv w:val="1"/>
      <w:marLeft w:val="0"/>
      <w:marRight w:val="0"/>
      <w:marTop w:val="0"/>
      <w:marBottom w:val="0"/>
      <w:divBdr>
        <w:top w:val="none" w:sz="0" w:space="0" w:color="auto"/>
        <w:left w:val="none" w:sz="0" w:space="0" w:color="auto"/>
        <w:bottom w:val="none" w:sz="0" w:space="0" w:color="auto"/>
        <w:right w:val="none" w:sz="0" w:space="0" w:color="auto"/>
      </w:divBdr>
      <w:divsChild>
        <w:div w:id="1614744668">
          <w:marLeft w:val="0"/>
          <w:marRight w:val="0"/>
          <w:marTop w:val="100"/>
          <w:marBottom w:val="100"/>
          <w:divBdr>
            <w:top w:val="none" w:sz="0" w:space="0" w:color="auto"/>
            <w:left w:val="none" w:sz="0" w:space="0" w:color="auto"/>
            <w:bottom w:val="none" w:sz="0" w:space="0" w:color="auto"/>
            <w:right w:val="none" w:sz="0" w:space="0" w:color="auto"/>
          </w:divBdr>
          <w:divsChild>
            <w:div w:id="2033217116">
              <w:marLeft w:val="0"/>
              <w:marRight w:val="0"/>
              <w:marTop w:val="0"/>
              <w:marBottom w:val="0"/>
              <w:divBdr>
                <w:top w:val="none" w:sz="0" w:space="0" w:color="auto"/>
                <w:left w:val="none" w:sz="0" w:space="0" w:color="auto"/>
                <w:bottom w:val="none" w:sz="0" w:space="0" w:color="auto"/>
                <w:right w:val="none" w:sz="0" w:space="0" w:color="auto"/>
              </w:divBdr>
              <w:divsChild>
                <w:div w:id="467356557">
                  <w:marLeft w:val="0"/>
                  <w:marRight w:val="0"/>
                  <w:marTop w:val="0"/>
                  <w:marBottom w:val="0"/>
                  <w:divBdr>
                    <w:top w:val="none" w:sz="0" w:space="0" w:color="auto"/>
                    <w:left w:val="none" w:sz="0" w:space="0" w:color="auto"/>
                    <w:bottom w:val="none" w:sz="0" w:space="0" w:color="auto"/>
                    <w:right w:val="none" w:sz="0" w:space="0" w:color="auto"/>
                  </w:divBdr>
                  <w:divsChild>
                    <w:div w:id="192691999">
                      <w:marLeft w:val="0"/>
                      <w:marRight w:val="0"/>
                      <w:marTop w:val="0"/>
                      <w:marBottom w:val="0"/>
                      <w:divBdr>
                        <w:top w:val="none" w:sz="0" w:space="0" w:color="auto"/>
                        <w:left w:val="none" w:sz="0" w:space="0" w:color="auto"/>
                        <w:bottom w:val="none" w:sz="0" w:space="0" w:color="auto"/>
                        <w:right w:val="none" w:sz="0" w:space="0" w:color="auto"/>
                      </w:divBdr>
                      <w:divsChild>
                        <w:div w:id="1970895971">
                          <w:marLeft w:val="0"/>
                          <w:marRight w:val="0"/>
                          <w:marTop w:val="0"/>
                          <w:marBottom w:val="0"/>
                          <w:divBdr>
                            <w:top w:val="none" w:sz="0" w:space="0" w:color="auto"/>
                            <w:left w:val="none" w:sz="0" w:space="0" w:color="auto"/>
                            <w:bottom w:val="none" w:sz="0" w:space="0" w:color="auto"/>
                            <w:right w:val="none" w:sz="0" w:space="0" w:color="auto"/>
                          </w:divBdr>
                          <w:divsChild>
                            <w:div w:id="9425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758249">
      <w:bodyDiv w:val="1"/>
      <w:marLeft w:val="0"/>
      <w:marRight w:val="0"/>
      <w:marTop w:val="0"/>
      <w:marBottom w:val="0"/>
      <w:divBdr>
        <w:top w:val="none" w:sz="0" w:space="0" w:color="auto"/>
        <w:left w:val="none" w:sz="0" w:space="0" w:color="auto"/>
        <w:bottom w:val="none" w:sz="0" w:space="0" w:color="auto"/>
        <w:right w:val="none" w:sz="0" w:space="0" w:color="auto"/>
      </w:divBdr>
      <w:divsChild>
        <w:div w:id="1605961457">
          <w:marLeft w:val="0"/>
          <w:marRight w:val="0"/>
          <w:marTop w:val="0"/>
          <w:marBottom w:val="0"/>
          <w:divBdr>
            <w:top w:val="none" w:sz="0" w:space="0" w:color="auto"/>
            <w:left w:val="none" w:sz="0" w:space="0" w:color="auto"/>
            <w:bottom w:val="none" w:sz="0" w:space="0" w:color="auto"/>
            <w:right w:val="none" w:sz="0" w:space="0" w:color="auto"/>
          </w:divBdr>
        </w:div>
      </w:divsChild>
    </w:div>
    <w:div w:id="1538468503">
      <w:bodyDiv w:val="1"/>
      <w:marLeft w:val="0"/>
      <w:marRight w:val="0"/>
      <w:marTop w:val="0"/>
      <w:marBottom w:val="0"/>
      <w:divBdr>
        <w:top w:val="none" w:sz="0" w:space="0" w:color="auto"/>
        <w:left w:val="none" w:sz="0" w:space="0" w:color="auto"/>
        <w:bottom w:val="none" w:sz="0" w:space="0" w:color="auto"/>
        <w:right w:val="none" w:sz="0" w:space="0" w:color="auto"/>
      </w:divBdr>
      <w:divsChild>
        <w:div w:id="1935280254">
          <w:marLeft w:val="0"/>
          <w:marRight w:val="0"/>
          <w:marTop w:val="0"/>
          <w:marBottom w:val="0"/>
          <w:divBdr>
            <w:top w:val="none" w:sz="0" w:space="0" w:color="auto"/>
            <w:left w:val="none" w:sz="0" w:space="0" w:color="auto"/>
            <w:bottom w:val="none" w:sz="0" w:space="0" w:color="auto"/>
            <w:right w:val="none" w:sz="0" w:space="0" w:color="auto"/>
          </w:divBdr>
          <w:divsChild>
            <w:div w:id="6569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6781">
      <w:bodyDiv w:val="1"/>
      <w:marLeft w:val="0"/>
      <w:marRight w:val="0"/>
      <w:marTop w:val="0"/>
      <w:marBottom w:val="0"/>
      <w:divBdr>
        <w:top w:val="none" w:sz="0" w:space="0" w:color="auto"/>
        <w:left w:val="none" w:sz="0" w:space="0" w:color="auto"/>
        <w:bottom w:val="none" w:sz="0" w:space="0" w:color="auto"/>
        <w:right w:val="none" w:sz="0" w:space="0" w:color="auto"/>
      </w:divBdr>
    </w:div>
    <w:div w:id="2100324362">
      <w:bodyDiv w:val="1"/>
      <w:marLeft w:val="0"/>
      <w:marRight w:val="0"/>
      <w:marTop w:val="0"/>
      <w:marBottom w:val="0"/>
      <w:divBdr>
        <w:top w:val="none" w:sz="0" w:space="0" w:color="auto"/>
        <w:left w:val="none" w:sz="0" w:space="0" w:color="auto"/>
        <w:bottom w:val="none" w:sz="0" w:space="0" w:color="auto"/>
        <w:right w:val="none" w:sz="0" w:space="0" w:color="auto"/>
      </w:divBdr>
      <w:divsChild>
        <w:div w:id="37200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92D1-CE95-47F6-88A0-C0976E06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540</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Herts Health Informatics</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feal</dc:creator>
  <cp:lastModifiedBy>ALLBROOK, Tanya (NHS HERTFORDSHIRE AND WEST ESSEX ICB - 06K)</cp:lastModifiedBy>
  <cp:revision>4</cp:revision>
  <cp:lastPrinted>2023-11-29T15:06:00Z</cp:lastPrinted>
  <dcterms:created xsi:type="dcterms:W3CDTF">2023-11-29T15:05:00Z</dcterms:created>
  <dcterms:modified xsi:type="dcterms:W3CDTF">2024-11-18T11:21:00Z</dcterms:modified>
</cp:coreProperties>
</file>