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61F91929" w14:textId="77777777" w:rsidR="00252C6B" w:rsidRDefault="0001721F"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7083144"/>
      <w:r w:rsidRPr="00B07E9F">
        <w:rPr>
          <w:rFonts w:ascii="Arial" w:eastAsia="Times New Roman" w:hAnsi="Arial" w:cs="Times New Roman"/>
          <w:b/>
          <w:szCs w:val="24"/>
          <w:lang w:val="en-US"/>
        </w:rPr>
        <w:t xml:space="preserve">Riluzole for </w:t>
      </w:r>
      <w:r>
        <w:rPr>
          <w:rFonts w:ascii="Arial" w:eastAsia="Times New Roman" w:hAnsi="Arial" w:cs="Times New Roman"/>
          <w:b/>
          <w:szCs w:val="24"/>
          <w:lang w:val="en-US"/>
        </w:rPr>
        <w:t>t</w:t>
      </w:r>
      <w:r w:rsidRPr="00B07E9F">
        <w:rPr>
          <w:rFonts w:ascii="Arial" w:eastAsia="Times New Roman" w:hAnsi="Arial" w:cs="Times New Roman"/>
          <w:b/>
          <w:szCs w:val="24"/>
          <w:lang w:val="en-US"/>
        </w:rPr>
        <w:t xml:space="preserve">he </w:t>
      </w:r>
      <w:r w:rsidR="00252C6B">
        <w:rPr>
          <w:rFonts w:ascii="Arial" w:eastAsia="Times New Roman" w:hAnsi="Arial" w:cs="Times New Roman"/>
          <w:b/>
          <w:szCs w:val="24"/>
          <w:lang w:val="en-US"/>
        </w:rPr>
        <w:t>t</w:t>
      </w:r>
      <w:r w:rsidRPr="00B07E9F">
        <w:rPr>
          <w:rFonts w:ascii="Arial" w:eastAsia="Times New Roman" w:hAnsi="Arial" w:cs="Times New Roman"/>
          <w:b/>
          <w:szCs w:val="24"/>
          <w:lang w:val="en-US"/>
        </w:rPr>
        <w:t xml:space="preserve">reatment </w:t>
      </w:r>
      <w:r w:rsidR="00B95106">
        <w:rPr>
          <w:rFonts w:ascii="Arial" w:eastAsia="Times New Roman" w:hAnsi="Arial" w:cs="Times New Roman"/>
          <w:b/>
          <w:szCs w:val="24"/>
          <w:lang w:val="en-US"/>
        </w:rPr>
        <w:t>o</w:t>
      </w:r>
      <w:r w:rsidRPr="00B07E9F">
        <w:rPr>
          <w:rFonts w:ascii="Arial" w:eastAsia="Times New Roman" w:hAnsi="Arial" w:cs="Times New Roman"/>
          <w:b/>
          <w:szCs w:val="24"/>
          <w:lang w:val="en-US"/>
        </w:rPr>
        <w:t xml:space="preserve">f </w:t>
      </w:r>
      <w:r w:rsidR="00252C6B">
        <w:rPr>
          <w:rFonts w:ascii="Arial" w:eastAsia="Times New Roman" w:hAnsi="Arial" w:cs="Times New Roman"/>
          <w:b/>
          <w:szCs w:val="24"/>
          <w:lang w:val="en-US"/>
        </w:rPr>
        <w:t>t</w:t>
      </w:r>
      <w:r w:rsidRPr="00B07E9F">
        <w:rPr>
          <w:rFonts w:ascii="Arial" w:eastAsia="Times New Roman" w:hAnsi="Arial" w:cs="Times New Roman"/>
          <w:b/>
          <w:szCs w:val="24"/>
          <w:lang w:val="en-US"/>
        </w:rPr>
        <w:t>he Amyotrophic Lateral</w:t>
      </w:r>
      <w:r w:rsidR="00252C6B">
        <w:rPr>
          <w:rFonts w:ascii="Arial" w:eastAsia="Times New Roman" w:hAnsi="Arial" w:cs="Times New Roman"/>
          <w:b/>
          <w:szCs w:val="24"/>
          <w:lang w:val="en-US"/>
        </w:rPr>
        <w:t xml:space="preserve"> </w:t>
      </w:r>
      <w:r w:rsidRPr="00B07E9F">
        <w:rPr>
          <w:rFonts w:ascii="Arial" w:eastAsia="Times New Roman" w:hAnsi="Arial" w:cs="Times New Roman"/>
          <w:b/>
          <w:szCs w:val="24"/>
          <w:lang w:val="en-US"/>
        </w:rPr>
        <w:t>Sclerosis (A</w:t>
      </w:r>
      <w:r w:rsidR="00B95106">
        <w:rPr>
          <w:rFonts w:ascii="Arial" w:eastAsia="Times New Roman" w:hAnsi="Arial" w:cs="Times New Roman"/>
          <w:b/>
          <w:szCs w:val="24"/>
          <w:lang w:val="en-US"/>
        </w:rPr>
        <w:t>LS</w:t>
      </w:r>
      <w:r w:rsidRPr="00B07E9F">
        <w:rPr>
          <w:rFonts w:ascii="Arial" w:eastAsia="Times New Roman" w:hAnsi="Arial" w:cs="Times New Roman"/>
          <w:b/>
          <w:szCs w:val="24"/>
          <w:lang w:val="en-US"/>
        </w:rPr>
        <w:t xml:space="preserve">) </w:t>
      </w:r>
      <w:r w:rsidR="00B95106">
        <w:rPr>
          <w:rFonts w:ascii="Arial" w:eastAsia="Times New Roman" w:hAnsi="Arial" w:cs="Times New Roman"/>
          <w:b/>
          <w:szCs w:val="24"/>
          <w:lang w:val="en-US"/>
        </w:rPr>
        <w:t>f</w:t>
      </w:r>
      <w:r w:rsidRPr="00B07E9F">
        <w:rPr>
          <w:rFonts w:ascii="Arial" w:eastAsia="Times New Roman" w:hAnsi="Arial" w:cs="Times New Roman"/>
          <w:b/>
          <w:szCs w:val="24"/>
          <w:lang w:val="en-US"/>
        </w:rPr>
        <w:t xml:space="preserve">orm </w:t>
      </w:r>
      <w:r>
        <w:rPr>
          <w:rFonts w:ascii="Arial" w:eastAsia="Times New Roman" w:hAnsi="Arial" w:cs="Times New Roman"/>
          <w:b/>
          <w:szCs w:val="24"/>
          <w:lang w:val="en-US"/>
        </w:rPr>
        <w:t>o</w:t>
      </w:r>
      <w:r w:rsidRPr="00B07E9F">
        <w:rPr>
          <w:rFonts w:ascii="Arial" w:eastAsia="Times New Roman" w:hAnsi="Arial" w:cs="Times New Roman"/>
          <w:b/>
          <w:szCs w:val="24"/>
          <w:lang w:val="en-US"/>
        </w:rPr>
        <w:t xml:space="preserve">f </w:t>
      </w:r>
    </w:p>
    <w:p w14:paraId="240F0C43" w14:textId="439FBBEC" w:rsidR="00252C6B" w:rsidRDefault="0001721F"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07E9F">
        <w:rPr>
          <w:rFonts w:ascii="Arial" w:eastAsia="Times New Roman" w:hAnsi="Arial" w:cs="Times New Roman"/>
          <w:b/>
          <w:szCs w:val="24"/>
          <w:lang w:val="en-US"/>
        </w:rPr>
        <w:t>Motor Neurone Disease (M</w:t>
      </w:r>
      <w:r w:rsidR="00B95106">
        <w:rPr>
          <w:rFonts w:ascii="Arial" w:eastAsia="Times New Roman" w:hAnsi="Arial" w:cs="Times New Roman"/>
          <w:b/>
          <w:szCs w:val="24"/>
          <w:lang w:val="en-US"/>
        </w:rPr>
        <w:t>ND</w:t>
      </w:r>
      <w:r w:rsidRPr="00B07E9F">
        <w:rPr>
          <w:rFonts w:ascii="Arial" w:eastAsia="Times New Roman" w:hAnsi="Arial" w:cs="Times New Roman"/>
          <w:b/>
          <w:szCs w:val="24"/>
          <w:lang w:val="en-US"/>
        </w:rPr>
        <w:t xml:space="preserve">) </w:t>
      </w:r>
    </w:p>
    <w:p w14:paraId="253940DF" w14:textId="0ABA31A4" w:rsidR="006F4129" w:rsidRPr="006F4129" w:rsidRDefault="00252C6B"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B1737A">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B95106">
        <w:rPr>
          <w:rFonts w:ascii="Arial" w:eastAsia="Times New Roman" w:hAnsi="Arial" w:cs="Times New Roman"/>
          <w:b/>
          <w:szCs w:val="24"/>
          <w:lang w:val="en-US"/>
        </w:rPr>
        <w:t>7</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Version 1</w:t>
      </w:r>
    </w:p>
    <w:bookmarkEnd w:id="0"/>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22CD2614" w:rsidR="006F4129" w:rsidRPr="00252C6B"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w:t>
      </w:r>
      <w:r w:rsidR="006A351A" w:rsidRPr="00252C6B">
        <w:rPr>
          <w:rFonts w:ascii="Arial" w:eastAsia="Times New Roman" w:hAnsi="Arial" w:cs="Times New Roman"/>
          <w:b/>
          <w:lang w:val="en-US" w:eastAsia="en-GB"/>
        </w:rPr>
        <w:t xml:space="preserve">page </w:t>
      </w:r>
      <w:r w:rsidR="008E77E6" w:rsidRPr="00252C6B">
        <w:rPr>
          <w:rFonts w:ascii="Arial" w:eastAsia="Times New Roman" w:hAnsi="Arial" w:cs="Times New Roman"/>
          <w:b/>
          <w:lang w:val="en-US" w:eastAsia="en-GB"/>
        </w:rPr>
        <w:t>5</w:t>
      </w:r>
      <w:r w:rsidR="006A351A" w:rsidRPr="00252C6B">
        <w:rPr>
          <w:rFonts w:ascii="Arial" w:eastAsia="Times New Roman" w:hAnsi="Arial" w:cs="Times New Roman"/>
          <w:b/>
          <w:lang w:val="en-US" w:eastAsia="en-GB"/>
        </w:rPr>
        <w:t xml:space="preserve"> onwards)</w:t>
      </w:r>
      <w:r w:rsidR="005D1B7A" w:rsidRPr="00252C6B">
        <w:rPr>
          <w:rFonts w:ascii="Arial" w:eastAsia="Times New Roman" w:hAnsi="Arial" w:cs="Times New Roman"/>
          <w:b/>
          <w:lang w:val="en-US" w:eastAsia="en-GB"/>
        </w:rPr>
        <w:t>.</w:t>
      </w:r>
    </w:p>
    <w:p w14:paraId="428D67A9" w14:textId="77777777" w:rsidR="005D1B7A" w:rsidRPr="00252C6B" w:rsidRDefault="005D1B7A" w:rsidP="006F4129">
      <w:pPr>
        <w:spacing w:after="0" w:line="240" w:lineRule="auto"/>
        <w:jc w:val="both"/>
        <w:rPr>
          <w:rFonts w:ascii="Arial" w:eastAsia="Times New Roman" w:hAnsi="Arial" w:cs="Arial"/>
          <w:b/>
          <w:bCs/>
          <w:szCs w:val="24"/>
          <w:lang w:val="en-US"/>
        </w:rPr>
      </w:pPr>
    </w:p>
    <w:p w14:paraId="45CE9204" w14:textId="47E93C31" w:rsidR="00F976BC" w:rsidRDefault="00682980" w:rsidP="00D029A0">
      <w:pPr>
        <w:spacing w:line="240" w:lineRule="auto"/>
        <w:jc w:val="both"/>
        <w:rPr>
          <w:rFonts w:ascii="Arial" w:hAnsi="Arial" w:cs="Arial"/>
          <w:b/>
          <w:color w:val="000000"/>
          <w:lang w:eastAsia="en-GB"/>
        </w:rPr>
      </w:pPr>
      <w:r w:rsidRPr="00252C6B">
        <w:rPr>
          <w:rFonts w:ascii="Arial" w:hAnsi="Arial" w:cs="Arial"/>
          <w:b/>
          <w:color w:val="000000"/>
          <w:lang w:eastAsia="en-GB"/>
        </w:rPr>
        <w:t xml:space="preserve">GP </w:t>
      </w:r>
      <w:r w:rsidR="002006A3" w:rsidRPr="00252C6B">
        <w:rPr>
          <w:rFonts w:ascii="Arial" w:hAnsi="Arial" w:cs="Arial"/>
          <w:b/>
          <w:color w:val="000000"/>
          <w:lang w:eastAsia="en-GB"/>
        </w:rPr>
        <w:t xml:space="preserve">to review </w:t>
      </w:r>
      <w:r w:rsidR="002E5B12" w:rsidRPr="00252C6B">
        <w:rPr>
          <w:rFonts w:ascii="Arial" w:hAnsi="Arial" w:cs="Arial"/>
          <w:b/>
          <w:color w:val="000000"/>
          <w:lang w:eastAsia="en-GB"/>
        </w:rPr>
        <w:t xml:space="preserve">and must </w:t>
      </w:r>
      <w:r w:rsidRPr="00252C6B">
        <w:rPr>
          <w:rFonts w:ascii="Arial" w:hAnsi="Arial" w:cs="Arial"/>
          <w:b/>
          <w:color w:val="000000"/>
          <w:lang w:eastAsia="en-GB"/>
        </w:rPr>
        <w:t xml:space="preserve">respond to </w:t>
      </w:r>
      <w:r w:rsidR="006A351A" w:rsidRPr="00252C6B">
        <w:rPr>
          <w:rFonts w:ascii="Arial" w:hAnsi="Arial" w:cs="Arial"/>
          <w:b/>
          <w:color w:val="000000"/>
          <w:lang w:eastAsia="en-GB"/>
        </w:rPr>
        <w:t>provider Trust request to share</w:t>
      </w:r>
      <w:r w:rsidRPr="00252C6B">
        <w:rPr>
          <w:rFonts w:ascii="Arial" w:hAnsi="Arial" w:cs="Arial"/>
          <w:b/>
          <w:color w:val="000000"/>
          <w:lang w:eastAsia="en-GB"/>
        </w:rPr>
        <w:t xml:space="preserve"> care </w:t>
      </w:r>
      <w:r w:rsidR="002006A3" w:rsidRPr="00252C6B">
        <w:rPr>
          <w:rFonts w:ascii="Arial" w:hAnsi="Arial" w:cs="Arial"/>
          <w:b/>
          <w:color w:val="000000"/>
          <w:lang w:eastAsia="en-GB"/>
        </w:rPr>
        <w:t xml:space="preserve">within 2 </w:t>
      </w:r>
      <w:r w:rsidRPr="00252C6B">
        <w:rPr>
          <w:rFonts w:ascii="Arial" w:hAnsi="Arial" w:cs="Arial"/>
          <w:b/>
          <w:color w:val="000000"/>
          <w:lang w:eastAsia="en-GB"/>
        </w:rPr>
        <w:t>weeks</w:t>
      </w:r>
      <w:r w:rsidR="002006A3" w:rsidRPr="00252C6B">
        <w:rPr>
          <w:rFonts w:ascii="Arial" w:hAnsi="Arial" w:cs="Arial"/>
          <w:b/>
          <w:color w:val="000000"/>
          <w:lang w:eastAsia="en-GB"/>
        </w:rPr>
        <w:t xml:space="preserve"> using form provided</w:t>
      </w:r>
      <w:r w:rsidR="005D1B7A" w:rsidRPr="00252C6B">
        <w:rPr>
          <w:rFonts w:ascii="Arial" w:hAnsi="Arial" w:cs="Arial"/>
          <w:b/>
          <w:color w:val="000000"/>
          <w:lang w:eastAsia="en-GB"/>
        </w:rPr>
        <w:t xml:space="preserve"> on page </w:t>
      </w:r>
      <w:r w:rsidR="008E77E6" w:rsidRPr="00252C6B">
        <w:rPr>
          <w:rFonts w:ascii="Arial" w:hAnsi="Arial" w:cs="Arial"/>
          <w:b/>
          <w:color w:val="000000"/>
          <w:lang w:eastAsia="en-GB"/>
        </w:rPr>
        <w:t>4</w:t>
      </w:r>
      <w:r w:rsidR="00F12528" w:rsidRPr="00252C6B">
        <w:rPr>
          <w:rFonts w:ascii="Arial" w:hAnsi="Arial" w:cs="Arial"/>
          <w:b/>
          <w:color w:val="000000"/>
          <w:lang w:eastAsia="en-GB"/>
        </w:rPr>
        <w:t>.</w:t>
      </w:r>
    </w:p>
    <w:p w14:paraId="58F9D5BB" w14:textId="374D771A" w:rsidR="00AB7F7D" w:rsidRDefault="00AB7F7D" w:rsidP="00AB7F7D">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Specialist</w:t>
      </w:r>
      <w:r>
        <w:rPr>
          <w:rFonts w:ascii="Arial" w:eastAsia="Times New Roman" w:hAnsi="Arial" w:cs="Arial"/>
          <w:b/>
          <w:sz w:val="24"/>
          <w:u w:val="single"/>
          <w:lang w:val="en-US"/>
        </w:rPr>
        <w:t xml:space="preserve"> (with page 4 Shared Care Agreement Form)</w:t>
      </w:r>
    </w:p>
    <w:p w14:paraId="6A4B04B9" w14:textId="31DEE83A" w:rsidR="00AB7F7D" w:rsidRDefault="00AB7F7D" w:rsidP="00AB7F7D">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6912" behindDoc="0" locked="0" layoutInCell="1" allowOverlap="1" wp14:anchorId="24FED2B3" wp14:editId="6DEA9914">
                <wp:simplePos x="0" y="0"/>
                <wp:positionH relativeFrom="column">
                  <wp:posOffset>3581400</wp:posOffset>
                </wp:positionH>
                <wp:positionV relativeFrom="paragraph">
                  <wp:posOffset>189230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0964EDA1" w14:textId="77777777" w:rsidR="00AB7F7D" w:rsidRPr="00474C2D" w:rsidRDefault="00AB7F7D" w:rsidP="00AB7F7D">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ED2B3" id="_x0000_t202" coordsize="21600,21600" o:spt="202" path="m,l,21600r21600,l21600,xe">
                <v:stroke joinstyle="miter"/>
                <v:path gradientshapeok="t" o:connecttype="rect"/>
              </v:shapetype>
              <v:shape id="Text Box 2" o:spid="_x0000_s1026" type="#_x0000_t202" style="position:absolute;left:0;text-align:left;margin-left:282pt;margin-top:14.9pt;width:228.2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">
                <v:stroke dashstyle="dash"/>
                <v:textbox>
                  <w:txbxContent>
                    <w:p w14:paraId="0964EDA1" w14:textId="77777777" w:rsidR="00AB7F7D" w:rsidRPr="00474C2D" w:rsidRDefault="00AB7F7D" w:rsidP="00AB7F7D">
                      <w:pPr>
                        <w:rPr>
                          <w:rFonts w:ascii="Arial" w:hAnsi="Arial" w:cs="Arial"/>
                        </w:rPr>
                      </w:pPr>
                      <w:r w:rsidRPr="00474C2D">
                        <w:rPr>
                          <w:rFonts w:ascii="Arial" w:hAnsi="Arial" w:cs="Arial"/>
                        </w:rPr>
                        <w:t>Addressograph label</w:t>
                      </w:r>
                    </w:p>
                  </w:txbxContent>
                </v:textbox>
              </v:shape>
            </w:pict>
          </mc:Fallback>
        </mc:AlternateContent>
      </w:r>
    </w:p>
    <w:tbl>
      <w:tblPr>
        <w:tblStyle w:val="TableGrid"/>
        <w:tblW w:w="0" w:type="auto"/>
        <w:tblInd w:w="-5" w:type="dxa"/>
        <w:tblLook w:val="04A0" w:firstRow="1" w:lastRow="0" w:firstColumn="1" w:lastColumn="0" w:noHBand="0" w:noVBand="1"/>
      </w:tblPr>
      <w:tblGrid>
        <w:gridCol w:w="1696"/>
        <w:gridCol w:w="2552"/>
        <w:gridCol w:w="1417"/>
      </w:tblGrid>
      <w:tr w:rsidR="00AB7F7D" w:rsidRPr="003673F7" w14:paraId="6AD7357E" w14:textId="77777777" w:rsidTr="00AB7F7D">
        <w:trPr>
          <w:trHeight w:val="300"/>
        </w:trPr>
        <w:tc>
          <w:tcPr>
            <w:tcW w:w="1696" w:type="dxa"/>
            <w:noWrap/>
            <w:hideMark/>
          </w:tcPr>
          <w:p w14:paraId="63940276" w14:textId="77777777" w:rsidR="00AB7F7D" w:rsidRPr="00B36343" w:rsidRDefault="00AB7F7D" w:rsidP="00BD4A96">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402F537E" w14:textId="77777777" w:rsidR="00AB7F7D" w:rsidRPr="00B36343" w:rsidRDefault="00AB7F7D" w:rsidP="00BD4A96">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1"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1"/>
          </w:p>
        </w:tc>
        <w:tc>
          <w:tcPr>
            <w:tcW w:w="1417" w:type="dxa"/>
            <w:tcBorders>
              <w:top w:val="nil"/>
              <w:left w:val="single" w:sz="4" w:space="0" w:color="auto"/>
              <w:bottom w:val="nil"/>
              <w:right w:val="nil"/>
            </w:tcBorders>
            <w:noWrap/>
            <w:hideMark/>
          </w:tcPr>
          <w:p w14:paraId="72A2CE74" w14:textId="77777777" w:rsidR="00AB7F7D" w:rsidRPr="003673F7" w:rsidRDefault="00AB7F7D" w:rsidP="00BD4A96"/>
        </w:tc>
      </w:tr>
      <w:tr w:rsidR="00AB7F7D" w:rsidRPr="003673F7" w14:paraId="5E67789D" w14:textId="77777777" w:rsidTr="00AB7F7D">
        <w:trPr>
          <w:trHeight w:val="300"/>
        </w:trPr>
        <w:tc>
          <w:tcPr>
            <w:tcW w:w="1696" w:type="dxa"/>
            <w:noWrap/>
            <w:hideMark/>
          </w:tcPr>
          <w:p w14:paraId="5D2C1EA1" w14:textId="77777777" w:rsidR="00AB7F7D" w:rsidRPr="00B36343" w:rsidRDefault="00AB7F7D" w:rsidP="00BD4A96">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009FEA12" w14:textId="77777777" w:rsidR="00AB7F7D" w:rsidRPr="00B36343" w:rsidRDefault="00AB7F7D" w:rsidP="00BD4A96">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vAlign w:val="center"/>
            <w:hideMark/>
          </w:tcPr>
          <w:p w14:paraId="11E37761" w14:textId="77777777" w:rsidR="00AB7F7D" w:rsidRPr="00B36343" w:rsidRDefault="00AB7F7D" w:rsidP="00BD4A96">
            <w:pPr>
              <w:jc w:val="center"/>
              <w:rPr>
                <w:rFonts w:ascii="Arial" w:hAnsi="Arial" w:cs="Arial"/>
                <w:b/>
                <w:bCs/>
              </w:rPr>
            </w:pPr>
            <w:r w:rsidRPr="00B36343">
              <w:rPr>
                <w:rFonts w:ascii="Arial" w:hAnsi="Arial" w:cs="Arial"/>
                <w:b/>
                <w:bCs/>
              </w:rPr>
              <w:t>OR</w:t>
            </w:r>
          </w:p>
        </w:tc>
      </w:tr>
      <w:tr w:rsidR="00AB7F7D" w:rsidRPr="003673F7" w14:paraId="2100A6B6" w14:textId="77777777" w:rsidTr="00AB7F7D">
        <w:trPr>
          <w:trHeight w:val="300"/>
        </w:trPr>
        <w:tc>
          <w:tcPr>
            <w:tcW w:w="1696" w:type="dxa"/>
            <w:noWrap/>
            <w:hideMark/>
          </w:tcPr>
          <w:p w14:paraId="428B031A" w14:textId="4B40A0C8" w:rsidR="00AB7F7D" w:rsidRPr="00B36343" w:rsidRDefault="00AB7F7D" w:rsidP="00BD4A96">
            <w:pPr>
              <w:rPr>
                <w:rFonts w:ascii="Arial" w:hAnsi="Arial" w:cs="Arial"/>
                <w:b/>
                <w:bCs/>
              </w:rPr>
            </w:pPr>
            <w:r>
              <w:rPr>
                <w:rFonts w:ascii="Arial" w:hAnsi="Arial" w:cs="Arial"/>
                <w:b/>
                <w:bCs/>
                <w:lang w:val="en-US"/>
              </w:rPr>
              <w:t xml:space="preserve"> </w:t>
            </w:r>
            <w:r w:rsidRPr="00B36343">
              <w:rPr>
                <w:rFonts w:ascii="Arial" w:hAnsi="Arial" w:cs="Arial"/>
                <w:b/>
                <w:bCs/>
                <w:lang w:val="en-US"/>
              </w:rPr>
              <w:t>NHS number</w:t>
            </w:r>
          </w:p>
        </w:tc>
        <w:tc>
          <w:tcPr>
            <w:tcW w:w="2552" w:type="dxa"/>
            <w:tcBorders>
              <w:right w:val="single" w:sz="4" w:space="0" w:color="auto"/>
            </w:tcBorders>
            <w:noWrap/>
            <w:hideMark/>
          </w:tcPr>
          <w:p w14:paraId="6A02D95B" w14:textId="77777777" w:rsidR="00AB7F7D" w:rsidRPr="00B36343" w:rsidRDefault="00AB7F7D" w:rsidP="00BD4A96">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hideMark/>
          </w:tcPr>
          <w:p w14:paraId="0A595AE5" w14:textId="77777777" w:rsidR="00AB7F7D" w:rsidRPr="003673F7" w:rsidRDefault="00AB7F7D" w:rsidP="00BD4A96"/>
        </w:tc>
      </w:tr>
    </w:tbl>
    <w:p w14:paraId="78012B78" w14:textId="5A31A01A" w:rsidR="00AB7F7D" w:rsidRDefault="00AB7F7D" w:rsidP="00D029A0">
      <w:pPr>
        <w:spacing w:line="240" w:lineRule="auto"/>
        <w:jc w:val="both"/>
        <w:rPr>
          <w:rFonts w:ascii="Arial" w:hAnsi="Arial" w:cs="Arial"/>
          <w:b/>
          <w:color w:val="000000"/>
          <w:lang w:eastAsia="en-GB"/>
        </w:rPr>
      </w:pPr>
    </w:p>
    <w:p w14:paraId="0AEDB273" w14:textId="0D0E3316" w:rsidR="00E60DF5" w:rsidRDefault="00E60DF5" w:rsidP="00755AEA">
      <w:pPr>
        <w:spacing w:after="0" w:line="240" w:lineRule="auto"/>
        <w:contextualSpacing/>
        <w:jc w:val="both"/>
        <w:rPr>
          <w:rFonts w:ascii="Arial" w:eastAsia="Times New Roman" w:hAnsi="Arial" w:cs="Arial"/>
          <w:b/>
          <w:bCs/>
          <w:sz w:val="16"/>
          <w:szCs w:val="24"/>
          <w:lang w:val="en-US"/>
        </w:rPr>
      </w:pPr>
    </w:p>
    <w:p w14:paraId="4C1436B3" w14:textId="2B041E11" w:rsidR="00364FD3" w:rsidRDefault="00364FD3" w:rsidP="00755AEA">
      <w:pPr>
        <w:spacing w:after="0" w:line="240" w:lineRule="auto"/>
        <w:contextualSpacing/>
        <w:jc w:val="both"/>
        <w:rPr>
          <w:rFonts w:ascii="Arial" w:eastAsia="Times New Roman" w:hAnsi="Arial" w:cs="Arial"/>
          <w:b/>
          <w:bCs/>
          <w:sz w:val="16"/>
          <w:szCs w:val="24"/>
          <w:lang w:val="en-US"/>
        </w:rPr>
      </w:pPr>
    </w:p>
    <w:tbl>
      <w:tblPr>
        <w:tblStyle w:val="TableGrid"/>
        <w:tblW w:w="0" w:type="auto"/>
        <w:tblLook w:val="04A0" w:firstRow="1" w:lastRow="0" w:firstColumn="1" w:lastColumn="0" w:noHBand="0" w:noVBand="1"/>
      </w:tblPr>
      <w:tblGrid>
        <w:gridCol w:w="4248"/>
        <w:gridCol w:w="6095"/>
      </w:tblGrid>
      <w:tr w:rsidR="00AB7F7D" w:rsidRPr="003673F7" w14:paraId="64753DAB" w14:textId="77777777" w:rsidTr="00BD4A96">
        <w:trPr>
          <w:trHeight w:val="300"/>
        </w:trPr>
        <w:tc>
          <w:tcPr>
            <w:tcW w:w="4248" w:type="dxa"/>
            <w:noWrap/>
            <w:hideMark/>
          </w:tcPr>
          <w:p w14:paraId="5D7C734D"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A602C8A"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26995C43"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5EED859C" w14:textId="77777777" w:rsidTr="00BD4A96">
        <w:trPr>
          <w:trHeight w:val="300"/>
        </w:trPr>
        <w:tc>
          <w:tcPr>
            <w:tcW w:w="4248" w:type="dxa"/>
            <w:noWrap/>
            <w:hideMark/>
          </w:tcPr>
          <w:p w14:paraId="00CBC655"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24844C00"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02645A6C"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089433FF" w14:textId="77777777" w:rsidTr="00BD4A96">
        <w:trPr>
          <w:trHeight w:val="300"/>
        </w:trPr>
        <w:tc>
          <w:tcPr>
            <w:tcW w:w="4248" w:type="dxa"/>
            <w:noWrap/>
            <w:hideMark/>
          </w:tcPr>
          <w:p w14:paraId="592BA5D9"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7A866BC4"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11E13AAA"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0A0EE156" w14:textId="77777777" w:rsidTr="00BD4A96">
        <w:trPr>
          <w:trHeight w:val="300"/>
        </w:trPr>
        <w:tc>
          <w:tcPr>
            <w:tcW w:w="4248" w:type="dxa"/>
            <w:noWrap/>
          </w:tcPr>
          <w:p w14:paraId="389B85DE"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416B7362" w14:textId="77777777" w:rsidR="00AB7F7D" w:rsidRPr="00B36343" w:rsidRDefault="00AB7F7D" w:rsidP="00BD4A96">
            <w:pPr>
              <w:contextualSpacing/>
              <w:jc w:val="both"/>
              <w:rPr>
                <w:rFonts w:ascii="Arial" w:eastAsia="Times New Roman" w:hAnsi="Arial" w:cs="Arial"/>
                <w:b/>
                <w:bCs/>
                <w:lang w:val="en-US"/>
              </w:rPr>
            </w:pPr>
          </w:p>
        </w:tc>
        <w:tc>
          <w:tcPr>
            <w:tcW w:w="6095" w:type="dxa"/>
            <w:noWrap/>
          </w:tcPr>
          <w:p w14:paraId="5236595B" w14:textId="77777777" w:rsidR="00AB7F7D" w:rsidRPr="00B36343" w:rsidRDefault="00AB7F7D" w:rsidP="00BD4A96">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6211635B" w14:textId="77777777" w:rsidTr="00BD4A96">
        <w:trPr>
          <w:trHeight w:val="300"/>
        </w:trPr>
        <w:tc>
          <w:tcPr>
            <w:tcW w:w="4248" w:type="dxa"/>
            <w:noWrap/>
            <w:hideMark/>
          </w:tcPr>
          <w:p w14:paraId="77E75B95"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01B15DF1"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0C6D8EF1"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26D2780D" w14:textId="77777777" w:rsidTr="00BD4A96">
        <w:trPr>
          <w:trHeight w:val="509"/>
        </w:trPr>
        <w:tc>
          <w:tcPr>
            <w:tcW w:w="4248" w:type="dxa"/>
            <w:vMerge w:val="restart"/>
            <w:noWrap/>
            <w:hideMark/>
          </w:tcPr>
          <w:p w14:paraId="501D868B" w14:textId="77777777" w:rsidR="00AB7F7D" w:rsidRPr="00B36343" w:rsidRDefault="00AB7F7D" w:rsidP="00BD4A96">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095" w:type="dxa"/>
            <w:vMerge w:val="restart"/>
            <w:noWrap/>
            <w:hideMark/>
          </w:tcPr>
          <w:p w14:paraId="17BF7404" w14:textId="77777777" w:rsidR="00AB7F7D" w:rsidRPr="00B36343" w:rsidRDefault="00AB7F7D" w:rsidP="00BD4A96">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7F7D" w:rsidRPr="003673F7" w14:paraId="75FF2382" w14:textId="77777777" w:rsidTr="00BD4A96">
        <w:trPr>
          <w:trHeight w:val="509"/>
        </w:trPr>
        <w:tc>
          <w:tcPr>
            <w:tcW w:w="4248" w:type="dxa"/>
            <w:vMerge/>
            <w:noWrap/>
            <w:hideMark/>
          </w:tcPr>
          <w:p w14:paraId="73543FD8" w14:textId="77777777" w:rsidR="00AB7F7D" w:rsidRPr="00B36343" w:rsidRDefault="00AB7F7D" w:rsidP="00BD4A96">
            <w:pPr>
              <w:contextualSpacing/>
              <w:jc w:val="both"/>
              <w:rPr>
                <w:rFonts w:ascii="Arial" w:eastAsia="Times New Roman" w:hAnsi="Arial" w:cs="Arial"/>
                <w:b/>
                <w:bCs/>
              </w:rPr>
            </w:pPr>
          </w:p>
        </w:tc>
        <w:tc>
          <w:tcPr>
            <w:tcW w:w="6095" w:type="dxa"/>
            <w:vMerge/>
            <w:noWrap/>
            <w:hideMark/>
          </w:tcPr>
          <w:p w14:paraId="0222395C" w14:textId="77777777" w:rsidR="00AB7F7D" w:rsidRPr="00B36343" w:rsidRDefault="00AB7F7D" w:rsidP="00BD4A96">
            <w:pPr>
              <w:contextualSpacing/>
              <w:jc w:val="both"/>
              <w:rPr>
                <w:rFonts w:ascii="Arial" w:eastAsia="Times New Roman" w:hAnsi="Arial" w:cs="Arial"/>
                <w:b/>
                <w:bCs/>
              </w:rPr>
            </w:pPr>
          </w:p>
        </w:tc>
      </w:tr>
      <w:tr w:rsidR="00AB7F7D" w:rsidRPr="003673F7" w14:paraId="75F01653" w14:textId="77777777" w:rsidTr="00BD4A96">
        <w:trPr>
          <w:trHeight w:val="509"/>
        </w:trPr>
        <w:tc>
          <w:tcPr>
            <w:tcW w:w="4248" w:type="dxa"/>
            <w:vMerge w:val="restart"/>
            <w:noWrap/>
            <w:hideMark/>
          </w:tcPr>
          <w:p w14:paraId="58022F0F" w14:textId="77777777" w:rsidR="00AB7F7D" w:rsidRPr="00B36343" w:rsidRDefault="00AB7F7D" w:rsidP="00BD4A96">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vMerge w:val="restart"/>
            <w:noWrap/>
            <w:hideMark/>
          </w:tcPr>
          <w:p w14:paraId="66D43487" w14:textId="77777777" w:rsidR="00AB7F7D" w:rsidRPr="00B36343" w:rsidRDefault="00AB7F7D" w:rsidP="00BD4A96">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7F7D" w:rsidRPr="003673F7" w14:paraId="68BDA792" w14:textId="77777777" w:rsidTr="00BD4A96">
        <w:trPr>
          <w:trHeight w:val="509"/>
        </w:trPr>
        <w:tc>
          <w:tcPr>
            <w:tcW w:w="4248" w:type="dxa"/>
            <w:vMerge/>
            <w:noWrap/>
            <w:hideMark/>
          </w:tcPr>
          <w:p w14:paraId="169574F4" w14:textId="77777777" w:rsidR="00AB7F7D" w:rsidRPr="00B36343" w:rsidRDefault="00AB7F7D" w:rsidP="00BD4A96">
            <w:pPr>
              <w:contextualSpacing/>
              <w:jc w:val="both"/>
              <w:rPr>
                <w:rFonts w:ascii="Arial" w:eastAsia="Times New Roman" w:hAnsi="Arial" w:cs="Arial"/>
                <w:b/>
                <w:bCs/>
              </w:rPr>
            </w:pPr>
          </w:p>
        </w:tc>
        <w:tc>
          <w:tcPr>
            <w:tcW w:w="6095" w:type="dxa"/>
            <w:vMerge/>
            <w:noWrap/>
            <w:hideMark/>
          </w:tcPr>
          <w:p w14:paraId="7EB45F6C" w14:textId="77777777" w:rsidR="00AB7F7D" w:rsidRPr="00B36343" w:rsidRDefault="00AB7F7D" w:rsidP="00BD4A96">
            <w:pPr>
              <w:contextualSpacing/>
              <w:jc w:val="both"/>
              <w:rPr>
                <w:rFonts w:ascii="Arial" w:eastAsia="Times New Roman" w:hAnsi="Arial" w:cs="Arial"/>
                <w:b/>
                <w:bCs/>
              </w:rPr>
            </w:pPr>
          </w:p>
        </w:tc>
      </w:tr>
    </w:tbl>
    <w:p w14:paraId="5062BB39" w14:textId="69C3FB1F" w:rsidR="00364FD3" w:rsidRDefault="00364FD3" w:rsidP="00755AEA">
      <w:pPr>
        <w:spacing w:after="0" w:line="240" w:lineRule="auto"/>
        <w:contextualSpacing/>
        <w:jc w:val="both"/>
        <w:rPr>
          <w:rFonts w:ascii="Arial" w:eastAsia="Times New Roman" w:hAnsi="Arial" w:cs="Arial"/>
          <w:b/>
          <w:bCs/>
          <w:sz w:val="16"/>
          <w:szCs w:val="24"/>
          <w:lang w:val="en-US"/>
        </w:rPr>
      </w:pPr>
    </w:p>
    <w:p w14:paraId="24479F8F" w14:textId="5FD1C300" w:rsidR="00364FD3" w:rsidRDefault="00364FD3" w:rsidP="00755AEA">
      <w:pPr>
        <w:spacing w:after="0" w:line="240" w:lineRule="auto"/>
        <w:contextualSpacing/>
        <w:jc w:val="both"/>
        <w:rPr>
          <w:rFonts w:ascii="Arial" w:eastAsia="Times New Roman" w:hAnsi="Arial" w:cs="Arial"/>
          <w:b/>
          <w:bCs/>
          <w:sz w:val="16"/>
          <w:szCs w:val="24"/>
          <w:lang w:val="en-US"/>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AB7F7D">
        <w:trPr>
          <w:trHeight w:val="632"/>
        </w:trPr>
        <w:tc>
          <w:tcPr>
            <w:tcW w:w="10909"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D92128" w14:textId="31DA006A"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If shared care accepted prescribe </w:t>
            </w:r>
            <w:r w:rsidR="00D7659F">
              <w:rPr>
                <w:rFonts w:ascii="Arial" w:eastAsia="Times New Roman" w:hAnsi="Arial" w:cs="Arial"/>
                <w:bCs/>
                <w:lang w:eastAsia="en-GB"/>
              </w:rPr>
              <w:t>riluzole</w:t>
            </w:r>
            <w:r w:rsidRPr="000C7F57">
              <w:rPr>
                <w:rFonts w:ascii="Arial" w:eastAsia="Times New Roman" w:hAnsi="Arial" w:cs="Arial"/>
                <w:bCs/>
                <w:lang w:eastAsia="en-GB"/>
              </w:rPr>
              <w:t xml:space="preserve"> once patient is clinically stable in line with protocol. </w:t>
            </w:r>
          </w:p>
          <w:p w14:paraId="00D9BF1F" w14:textId="51F65B70"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Arrange, </w:t>
            </w:r>
            <w:proofErr w:type="gramStart"/>
            <w:r w:rsidRPr="000C7F57">
              <w:rPr>
                <w:rFonts w:ascii="Arial" w:eastAsia="Times New Roman" w:hAnsi="Arial" w:cs="Arial"/>
                <w:bCs/>
                <w:lang w:eastAsia="en-GB"/>
              </w:rPr>
              <w:t>record</w:t>
            </w:r>
            <w:proofErr w:type="gramEnd"/>
            <w:r w:rsidRPr="000C7F57">
              <w:rPr>
                <w:rFonts w:ascii="Arial" w:eastAsia="Times New Roman" w:hAnsi="Arial" w:cs="Arial"/>
                <w:bCs/>
                <w:lang w:eastAsia="en-GB"/>
              </w:rPr>
              <w:t xml:space="preserve"> and share ongoing monitoring and take appropriate action as per protocol and advised by specialist (see monitoring table), ensuring</w:t>
            </w:r>
            <w:r w:rsidR="00E06022">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3C85B598"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70945DEF"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06E49DB4" w14:textId="731EABE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sidR="00E06022">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0B82A9E2" w14:textId="21DBA70F" w:rsidR="00E60DF5"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Ensure no drug interactions with other medicines.</w:t>
            </w:r>
          </w:p>
          <w:p w14:paraId="626FC206" w14:textId="708E3AD0"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riluzole if neutropenia develops. Arrange for immediate hospital assessment if neutropenic sepsis is suspected. </w:t>
            </w:r>
          </w:p>
          <w:p w14:paraId="7473463B" w14:textId="77777777"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riluzole and make an urgent referral to the specialist if ALT rises to 5 times the ULN or if chest x-ray finding </w:t>
            </w:r>
            <w:proofErr w:type="gramStart"/>
            <w:r w:rsidRPr="008B71E0">
              <w:rPr>
                <w:rFonts w:ascii="Arial" w:eastAsia="Times New Roman" w:hAnsi="Arial" w:cs="Arial"/>
                <w:bCs/>
                <w:lang w:eastAsia="en-GB"/>
              </w:rPr>
              <w:t>are</w:t>
            </w:r>
            <w:proofErr w:type="gramEnd"/>
            <w:r w:rsidRPr="008B71E0">
              <w:rPr>
                <w:rFonts w:ascii="Arial" w:eastAsia="Times New Roman" w:hAnsi="Arial" w:cs="Arial"/>
                <w:bCs/>
                <w:lang w:eastAsia="en-GB"/>
              </w:rPr>
              <w:t xml:space="preserve"> suggestive of interstitial lung disease.</w:t>
            </w:r>
          </w:p>
          <w:p w14:paraId="055A2E69" w14:textId="77777777"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Refer the management back to the specialist if the patient becomes or plans to become pregnant.</w:t>
            </w:r>
          </w:p>
          <w:p w14:paraId="02A4B3A9" w14:textId="6FB3380D" w:rsidR="008B71E0" w:rsidRPr="000C7F57"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treatment as advised by the </w:t>
            </w:r>
            <w:proofErr w:type="gramStart"/>
            <w:r w:rsidRPr="008B71E0">
              <w:rPr>
                <w:rFonts w:ascii="Arial" w:eastAsia="Times New Roman" w:hAnsi="Arial" w:cs="Arial"/>
                <w:bCs/>
                <w:lang w:eastAsia="en-GB"/>
              </w:rPr>
              <w:t>specialist</w:t>
            </w:r>
            <w:proofErr w:type="gramEnd"/>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5F1AE2">
              <w:trPr>
                <w:trHeight w:val="1833"/>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FDBE283"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w:t>
                  </w:r>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jc w:val="center"/>
                    <w:tblLook w:val="04A0" w:firstRow="1" w:lastRow="0" w:firstColumn="1" w:lastColumn="0" w:noHBand="0" w:noVBand="1"/>
                  </w:tblPr>
                  <w:tblGrid>
                    <w:gridCol w:w="1253"/>
                    <w:gridCol w:w="1433"/>
                    <w:gridCol w:w="1708"/>
                    <w:gridCol w:w="1435"/>
                    <w:gridCol w:w="1855"/>
                    <w:gridCol w:w="1333"/>
                    <w:gridCol w:w="1355"/>
                  </w:tblGrid>
                  <w:tr w:rsidR="007733C3" w:rsidRPr="00390A9B" w14:paraId="0652FCD3" w14:textId="77777777" w:rsidTr="00915A03">
                    <w:trPr>
                      <w:jc w:val="center"/>
                    </w:trPr>
                    <w:tc>
                      <w:tcPr>
                        <w:tcW w:w="2834" w:type="dxa"/>
                        <w:gridSpan w:val="2"/>
                        <w:shd w:val="clear" w:color="auto" w:fill="auto"/>
                      </w:tcPr>
                      <w:p w14:paraId="7FC712E4" w14:textId="77777777" w:rsidR="007733C3" w:rsidRPr="002926D9" w:rsidRDefault="007733C3" w:rsidP="007733C3">
                        <w:pPr>
                          <w:pStyle w:val="NoSpacing"/>
                          <w:rPr>
                            <w:rFonts w:ascii="Arial" w:hAnsi="Arial" w:cs="Arial"/>
                            <w:b/>
                            <w:bCs/>
                          </w:rPr>
                        </w:pPr>
                        <w:r w:rsidRPr="002926D9">
                          <w:rPr>
                            <w:rFonts w:ascii="Arial" w:hAnsi="Arial" w:cs="Arial"/>
                            <w:b/>
                            <w:bCs/>
                          </w:rPr>
                          <w:t>Monitoring table</w:t>
                        </w:r>
                      </w:p>
                    </w:tc>
                    <w:tc>
                      <w:tcPr>
                        <w:tcW w:w="1219" w:type="dxa"/>
                        <w:shd w:val="clear" w:color="auto" w:fill="auto"/>
                      </w:tcPr>
                      <w:p w14:paraId="132CA214"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p>
                    </w:tc>
                    <w:tc>
                      <w:tcPr>
                        <w:tcW w:w="1493" w:type="dxa"/>
                        <w:shd w:val="clear" w:color="auto" w:fill="auto"/>
                      </w:tcPr>
                      <w:p w14:paraId="32528673"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p>
                    </w:tc>
                    <w:tc>
                      <w:tcPr>
                        <w:tcW w:w="2025" w:type="dxa"/>
                        <w:shd w:val="pct10" w:color="auto" w:fill="auto"/>
                      </w:tcPr>
                      <w:p w14:paraId="22FCB190"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r w:rsidRPr="002926D9">
                          <w:rPr>
                            <w:rFonts w:ascii="Arial" w:hAnsi="Arial" w:cs="Arial"/>
                            <w:b/>
                            <w:bCs/>
                            <w:highlight w:val="yellow"/>
                          </w:rPr>
                          <w:t xml:space="preserve"> </w:t>
                        </w:r>
                      </w:p>
                    </w:tc>
                    <w:tc>
                      <w:tcPr>
                        <w:tcW w:w="1409" w:type="dxa"/>
                        <w:shd w:val="pct10" w:color="auto" w:fill="auto"/>
                      </w:tcPr>
                      <w:p w14:paraId="5334953D" w14:textId="77777777" w:rsidR="007733C3" w:rsidRPr="002926D9" w:rsidRDefault="007733C3" w:rsidP="007733C3">
                        <w:pPr>
                          <w:pStyle w:val="NoSpacing"/>
                          <w:rPr>
                            <w:rFonts w:ascii="Arial" w:hAnsi="Arial" w:cs="Arial"/>
                            <w:b/>
                            <w:bCs/>
                          </w:rPr>
                        </w:pPr>
                        <w:r w:rsidRPr="002926D9">
                          <w:rPr>
                            <w:rFonts w:ascii="Arial" w:hAnsi="Arial" w:cs="Arial"/>
                            <w:b/>
                            <w:bCs/>
                          </w:rPr>
                          <w:t xml:space="preserve">GP </w:t>
                        </w:r>
                      </w:p>
                    </w:tc>
                    <w:tc>
                      <w:tcPr>
                        <w:tcW w:w="1392" w:type="dxa"/>
                        <w:shd w:val="clear" w:color="auto" w:fill="auto"/>
                      </w:tcPr>
                      <w:p w14:paraId="234E1A48" w14:textId="77777777" w:rsidR="007733C3" w:rsidRPr="002926D9" w:rsidRDefault="007733C3" w:rsidP="007733C3">
                        <w:pPr>
                          <w:pStyle w:val="NoSpacing"/>
                          <w:rPr>
                            <w:rFonts w:ascii="Arial" w:hAnsi="Arial" w:cs="Arial"/>
                            <w:b/>
                            <w:bCs/>
                          </w:rPr>
                        </w:pPr>
                        <w:r w:rsidRPr="002926D9">
                          <w:rPr>
                            <w:rFonts w:ascii="Arial" w:hAnsi="Arial" w:cs="Arial"/>
                            <w:b/>
                            <w:bCs/>
                          </w:rPr>
                          <w:t xml:space="preserve">Hospital specialist </w:t>
                        </w:r>
                      </w:p>
                    </w:tc>
                  </w:tr>
                  <w:tr w:rsidR="007733C3" w:rsidRPr="00390A9B" w14:paraId="20B45C77" w14:textId="77777777" w:rsidTr="00915A03">
                    <w:trPr>
                      <w:trHeight w:val="767"/>
                      <w:jc w:val="center"/>
                    </w:trPr>
                    <w:tc>
                      <w:tcPr>
                        <w:tcW w:w="1390" w:type="dxa"/>
                        <w:shd w:val="clear" w:color="auto" w:fill="auto"/>
                      </w:tcPr>
                      <w:p w14:paraId="38B9D4C3" w14:textId="77777777" w:rsidR="007733C3" w:rsidRPr="00390A9B" w:rsidRDefault="007733C3" w:rsidP="007733C3">
                        <w:pPr>
                          <w:pStyle w:val="NoSpacing"/>
                          <w:rPr>
                            <w:rFonts w:ascii="Arial" w:hAnsi="Arial" w:cs="Arial"/>
                          </w:rPr>
                        </w:pPr>
                      </w:p>
                      <w:p w14:paraId="4C2419D3" w14:textId="77777777" w:rsidR="007733C3" w:rsidRPr="00390A9B" w:rsidRDefault="007733C3" w:rsidP="007733C3">
                        <w:pPr>
                          <w:pStyle w:val="NoSpacing"/>
                          <w:rPr>
                            <w:rFonts w:ascii="Arial" w:hAnsi="Arial" w:cs="Arial"/>
                          </w:rPr>
                        </w:pPr>
                        <w:r w:rsidRPr="00390A9B">
                          <w:rPr>
                            <w:rFonts w:ascii="Arial" w:hAnsi="Arial" w:cs="Arial"/>
                          </w:rPr>
                          <w:t>Test</w:t>
                        </w:r>
                      </w:p>
                    </w:tc>
                    <w:tc>
                      <w:tcPr>
                        <w:tcW w:w="1444" w:type="dxa"/>
                        <w:shd w:val="clear" w:color="auto" w:fill="auto"/>
                      </w:tcPr>
                      <w:p w14:paraId="1FFF9D74" w14:textId="77777777" w:rsidR="007733C3" w:rsidRPr="00390A9B" w:rsidRDefault="007733C3" w:rsidP="007733C3">
                        <w:pPr>
                          <w:pStyle w:val="NoSpacing"/>
                          <w:rPr>
                            <w:rFonts w:ascii="Arial" w:hAnsi="Arial" w:cs="Arial"/>
                          </w:rPr>
                        </w:pPr>
                      </w:p>
                      <w:p w14:paraId="2C4830E7" w14:textId="77777777" w:rsidR="007733C3" w:rsidRPr="00390A9B" w:rsidRDefault="007733C3" w:rsidP="007733C3">
                        <w:pPr>
                          <w:pStyle w:val="NoSpacing"/>
                          <w:rPr>
                            <w:rFonts w:ascii="Arial" w:hAnsi="Arial" w:cs="Arial"/>
                          </w:rPr>
                        </w:pPr>
                        <w:r w:rsidRPr="00390A9B">
                          <w:rPr>
                            <w:rFonts w:ascii="Arial" w:hAnsi="Arial" w:cs="Arial"/>
                          </w:rPr>
                          <w:t>Indication</w:t>
                        </w:r>
                      </w:p>
                    </w:tc>
                    <w:tc>
                      <w:tcPr>
                        <w:tcW w:w="1219" w:type="dxa"/>
                        <w:shd w:val="clear" w:color="auto" w:fill="auto"/>
                      </w:tcPr>
                      <w:p w14:paraId="6888C583" w14:textId="77777777" w:rsidR="007733C3" w:rsidRPr="00390A9B" w:rsidRDefault="007733C3" w:rsidP="007733C3">
                        <w:pPr>
                          <w:pStyle w:val="NoSpacing"/>
                          <w:rPr>
                            <w:rFonts w:ascii="Arial" w:hAnsi="Arial" w:cs="Arial"/>
                          </w:rPr>
                        </w:pPr>
                        <w:r w:rsidRPr="00390A9B">
                          <w:rPr>
                            <w:rFonts w:ascii="Arial" w:hAnsi="Arial" w:cs="Arial"/>
                          </w:rPr>
                          <w:t>Pre-treatment baseline</w:t>
                        </w:r>
                      </w:p>
                    </w:tc>
                    <w:tc>
                      <w:tcPr>
                        <w:tcW w:w="1493" w:type="dxa"/>
                        <w:shd w:val="clear" w:color="auto" w:fill="auto"/>
                      </w:tcPr>
                      <w:p w14:paraId="620E2A40" w14:textId="42F92183" w:rsidR="007733C3" w:rsidRPr="00390A9B" w:rsidRDefault="007733C3" w:rsidP="007733C3">
                        <w:pPr>
                          <w:pStyle w:val="NoSpacing"/>
                          <w:rPr>
                            <w:rFonts w:ascii="Arial" w:hAnsi="Arial" w:cs="Arial"/>
                          </w:rPr>
                        </w:pPr>
                        <w:r w:rsidRPr="00390A9B">
                          <w:rPr>
                            <w:rFonts w:ascii="Arial" w:hAnsi="Arial" w:cs="Arial"/>
                          </w:rPr>
                          <w:t>During Treatment Initiation</w:t>
                        </w:r>
                        <w:r w:rsidR="00C67353">
                          <w:rPr>
                            <w:rFonts w:ascii="Arial" w:hAnsi="Arial" w:cs="Arial"/>
                          </w:rPr>
                          <w:t xml:space="preserve"> </w:t>
                        </w:r>
                        <w:r w:rsidR="00252C6B" w:rsidRPr="00800A2C">
                          <w:rPr>
                            <w:rFonts w:ascii="Arial" w:hAnsi="Arial" w:cs="Arial"/>
                            <w:sz w:val="20"/>
                            <w:szCs w:val="20"/>
                          </w:rPr>
                          <w:t>(</w:t>
                        </w:r>
                        <w:r w:rsidR="00C67353" w:rsidRPr="00800A2C">
                          <w:rPr>
                            <w:rFonts w:ascii="Arial" w:hAnsi="Arial" w:cs="Arial"/>
                            <w:sz w:val="20"/>
                            <w:szCs w:val="20"/>
                          </w:rPr>
                          <w:t>during the first 3 months</w:t>
                        </w:r>
                        <w:r w:rsidR="00800A2C" w:rsidRPr="00800A2C">
                          <w:rPr>
                            <w:rFonts w:ascii="Arial" w:hAnsi="Arial" w:cs="Arial"/>
                            <w:sz w:val="20"/>
                            <w:szCs w:val="20"/>
                          </w:rPr>
                          <w:t>)</w:t>
                        </w:r>
                      </w:p>
                    </w:tc>
                    <w:tc>
                      <w:tcPr>
                        <w:tcW w:w="2025" w:type="dxa"/>
                        <w:shd w:val="pct10" w:color="auto" w:fill="auto"/>
                      </w:tcPr>
                      <w:p w14:paraId="5477B629" w14:textId="77777777" w:rsidR="007733C3" w:rsidRPr="00390A9B" w:rsidRDefault="007733C3" w:rsidP="007733C3">
                        <w:pPr>
                          <w:pStyle w:val="NoSpacing"/>
                          <w:rPr>
                            <w:rFonts w:ascii="Arial" w:hAnsi="Arial" w:cs="Arial"/>
                          </w:rPr>
                        </w:pPr>
                        <w:r w:rsidRPr="00390A9B">
                          <w:rPr>
                            <w:rFonts w:ascii="Arial" w:hAnsi="Arial" w:cs="Arial"/>
                          </w:rPr>
                          <w:t xml:space="preserve">Following Treatment </w:t>
                        </w:r>
                      </w:p>
                      <w:p w14:paraId="0F9425BA" w14:textId="77777777" w:rsidR="007733C3" w:rsidRPr="00390A9B" w:rsidRDefault="007733C3" w:rsidP="007733C3">
                        <w:pPr>
                          <w:pStyle w:val="NoSpacing"/>
                          <w:rPr>
                            <w:rFonts w:ascii="Arial" w:hAnsi="Arial" w:cs="Arial"/>
                          </w:rPr>
                        </w:pPr>
                        <w:r w:rsidRPr="00390A9B">
                          <w:rPr>
                            <w:rFonts w:ascii="Arial" w:hAnsi="Arial" w:cs="Arial"/>
                          </w:rPr>
                          <w:t>Initiation</w:t>
                        </w:r>
                      </w:p>
                    </w:tc>
                    <w:tc>
                      <w:tcPr>
                        <w:tcW w:w="1409" w:type="dxa"/>
                        <w:shd w:val="pct10" w:color="auto" w:fill="auto"/>
                      </w:tcPr>
                      <w:p w14:paraId="41781A73" w14:textId="77777777" w:rsidR="007733C3" w:rsidRPr="00390A9B" w:rsidRDefault="007733C3" w:rsidP="007733C3">
                        <w:pPr>
                          <w:pStyle w:val="NoSpacing"/>
                          <w:rPr>
                            <w:rFonts w:ascii="Arial" w:hAnsi="Arial" w:cs="Arial"/>
                          </w:rPr>
                        </w:pPr>
                        <w:r w:rsidRPr="00390A9B">
                          <w:rPr>
                            <w:rFonts w:ascii="Arial" w:hAnsi="Arial" w:cs="Arial"/>
                          </w:rPr>
                          <w:t>Ongoing</w:t>
                        </w:r>
                      </w:p>
                    </w:tc>
                    <w:tc>
                      <w:tcPr>
                        <w:tcW w:w="1392" w:type="dxa"/>
                        <w:shd w:val="clear" w:color="auto" w:fill="auto"/>
                      </w:tcPr>
                      <w:p w14:paraId="379B8B5D" w14:textId="77777777" w:rsidR="007733C3" w:rsidRPr="00390A9B" w:rsidRDefault="007733C3" w:rsidP="007733C3">
                        <w:pPr>
                          <w:pStyle w:val="NoSpacing"/>
                          <w:rPr>
                            <w:rFonts w:ascii="Arial" w:hAnsi="Arial" w:cs="Arial"/>
                          </w:rPr>
                        </w:pPr>
                        <w:r w:rsidRPr="00390A9B">
                          <w:rPr>
                            <w:rFonts w:ascii="Arial" w:hAnsi="Arial" w:cs="Arial"/>
                          </w:rPr>
                          <w:t>Annual review</w:t>
                        </w:r>
                      </w:p>
                      <w:p w14:paraId="653E439A" w14:textId="77777777" w:rsidR="007733C3" w:rsidRPr="00390A9B" w:rsidRDefault="007733C3" w:rsidP="007733C3">
                        <w:pPr>
                          <w:pStyle w:val="NoSpacing"/>
                          <w:rPr>
                            <w:rFonts w:ascii="Arial" w:hAnsi="Arial" w:cs="Arial"/>
                          </w:rPr>
                        </w:pPr>
                      </w:p>
                    </w:tc>
                  </w:tr>
                  <w:tr w:rsidR="007733C3" w:rsidRPr="00390A9B" w14:paraId="6FFB9665" w14:textId="77777777" w:rsidTr="00915A03">
                    <w:trPr>
                      <w:trHeight w:val="486"/>
                      <w:jc w:val="center"/>
                    </w:trPr>
                    <w:tc>
                      <w:tcPr>
                        <w:tcW w:w="1390" w:type="dxa"/>
                        <w:shd w:val="clear" w:color="auto" w:fill="auto"/>
                      </w:tcPr>
                      <w:p w14:paraId="424BFBD3" w14:textId="77777777" w:rsidR="007733C3" w:rsidRPr="00390A9B" w:rsidRDefault="007733C3" w:rsidP="007733C3">
                        <w:pPr>
                          <w:pStyle w:val="NoSpacing"/>
                          <w:rPr>
                            <w:rFonts w:ascii="Arial" w:hAnsi="Arial" w:cs="Arial"/>
                          </w:rPr>
                        </w:pPr>
                        <w:r w:rsidRPr="00390A9B">
                          <w:rPr>
                            <w:rFonts w:ascii="Arial" w:hAnsi="Arial" w:cs="Arial"/>
                          </w:rPr>
                          <w:t>U&amp;E</w:t>
                        </w:r>
                      </w:p>
                    </w:tc>
                    <w:tc>
                      <w:tcPr>
                        <w:tcW w:w="1444" w:type="dxa"/>
                        <w:vMerge w:val="restart"/>
                        <w:shd w:val="clear" w:color="auto" w:fill="auto"/>
                      </w:tcPr>
                      <w:p w14:paraId="7808A923" w14:textId="77777777" w:rsidR="007733C3" w:rsidRPr="00390A9B" w:rsidRDefault="007733C3" w:rsidP="007733C3">
                        <w:pPr>
                          <w:pStyle w:val="NoSpacing"/>
                          <w:rPr>
                            <w:rFonts w:ascii="Arial" w:hAnsi="Arial" w:cs="Arial"/>
                          </w:rPr>
                        </w:pPr>
                      </w:p>
                      <w:p w14:paraId="7F4D9B99" w14:textId="77777777" w:rsidR="007733C3" w:rsidRPr="00390A9B" w:rsidRDefault="007733C3" w:rsidP="007733C3">
                        <w:pPr>
                          <w:pStyle w:val="NoSpacing"/>
                          <w:rPr>
                            <w:rFonts w:ascii="Arial" w:hAnsi="Arial" w:cs="Arial"/>
                          </w:rPr>
                        </w:pPr>
                      </w:p>
                      <w:p w14:paraId="5F572E66" w14:textId="77777777" w:rsidR="007733C3" w:rsidRPr="00390A9B" w:rsidRDefault="007733C3" w:rsidP="007733C3">
                        <w:pPr>
                          <w:pStyle w:val="NoSpacing"/>
                          <w:rPr>
                            <w:rFonts w:ascii="Arial" w:hAnsi="Arial" w:cs="Arial"/>
                          </w:rPr>
                        </w:pPr>
                      </w:p>
                      <w:p w14:paraId="2E9BD599" w14:textId="77777777" w:rsidR="007733C3" w:rsidRPr="00390A9B" w:rsidRDefault="007733C3" w:rsidP="007733C3">
                        <w:pPr>
                          <w:pStyle w:val="NoSpacing"/>
                          <w:rPr>
                            <w:rFonts w:ascii="Arial" w:hAnsi="Arial" w:cs="Arial"/>
                          </w:rPr>
                        </w:pPr>
                      </w:p>
                      <w:p w14:paraId="2B5E208E" w14:textId="77777777" w:rsidR="007733C3" w:rsidRPr="00390A9B" w:rsidRDefault="007733C3" w:rsidP="007733C3">
                        <w:pPr>
                          <w:pStyle w:val="NoSpacing"/>
                          <w:rPr>
                            <w:rFonts w:ascii="Arial" w:hAnsi="Arial" w:cs="Arial"/>
                          </w:rPr>
                        </w:pPr>
                      </w:p>
                      <w:p w14:paraId="5513B67C" w14:textId="77777777" w:rsidR="007733C3" w:rsidRPr="00390A9B" w:rsidRDefault="007733C3" w:rsidP="007733C3">
                        <w:pPr>
                          <w:pStyle w:val="NoSpacing"/>
                          <w:rPr>
                            <w:rFonts w:ascii="Arial" w:hAnsi="Arial" w:cs="Arial"/>
                          </w:rPr>
                        </w:pPr>
                        <w:r w:rsidRPr="00390A9B">
                          <w:rPr>
                            <w:rFonts w:ascii="Arial" w:hAnsi="Arial" w:cs="Arial"/>
                          </w:rPr>
                          <w:t>Baseline and ongoing assessment for disease and drug dose assessment</w:t>
                        </w:r>
                      </w:p>
                      <w:p w14:paraId="704C9726" w14:textId="77777777" w:rsidR="007733C3" w:rsidRPr="00390A9B" w:rsidRDefault="007733C3" w:rsidP="007733C3">
                        <w:pPr>
                          <w:pStyle w:val="NoSpacing"/>
                          <w:rPr>
                            <w:rFonts w:ascii="Arial" w:hAnsi="Arial" w:cs="Arial"/>
                          </w:rPr>
                        </w:pPr>
                      </w:p>
                    </w:tc>
                    <w:tc>
                      <w:tcPr>
                        <w:tcW w:w="1219" w:type="dxa"/>
                        <w:shd w:val="clear" w:color="auto" w:fill="auto"/>
                      </w:tcPr>
                      <w:p w14:paraId="454F806B" w14:textId="77777777" w:rsidR="007733C3" w:rsidRPr="00390A9B" w:rsidRDefault="007733C3" w:rsidP="007733C3">
                        <w:pPr>
                          <w:pStyle w:val="NoSpacing"/>
                          <w:rPr>
                            <w:rFonts w:ascii="Arial" w:hAnsi="Arial" w:cs="Arial"/>
                          </w:rPr>
                        </w:pPr>
                      </w:p>
                      <w:p w14:paraId="15FE6D34"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5CB01FAF" w14:textId="77777777" w:rsidR="007733C3" w:rsidRPr="00390A9B" w:rsidRDefault="007733C3" w:rsidP="007733C3">
                        <w:pPr>
                          <w:pStyle w:val="NoSpacing"/>
                          <w:rPr>
                            <w:rFonts w:ascii="Arial" w:hAnsi="Arial" w:cs="Arial"/>
                          </w:rPr>
                        </w:pPr>
                        <w:r w:rsidRPr="00390A9B">
                          <w:rPr>
                            <w:rFonts w:ascii="Arial" w:hAnsi="Arial" w:cs="Arial"/>
                          </w:rPr>
                          <w:t>Not required</w:t>
                        </w:r>
                      </w:p>
                    </w:tc>
                    <w:tc>
                      <w:tcPr>
                        <w:tcW w:w="2025" w:type="dxa"/>
                        <w:shd w:val="pct10" w:color="auto" w:fill="auto"/>
                      </w:tcPr>
                      <w:p w14:paraId="6BBC5476"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3301358B" w14:textId="77777777" w:rsidR="007733C3" w:rsidRPr="00390A9B" w:rsidRDefault="007733C3" w:rsidP="007733C3">
                        <w:pPr>
                          <w:pStyle w:val="NoSpacing"/>
                          <w:rPr>
                            <w:rFonts w:ascii="Arial" w:hAnsi="Arial" w:cs="Arial"/>
                          </w:rPr>
                        </w:pPr>
                        <w:r w:rsidRPr="00390A9B">
                          <w:rPr>
                            <w:rFonts w:ascii="Arial" w:hAnsi="Arial" w:cs="Arial"/>
                          </w:rPr>
                          <w:t>Not required by GP</w:t>
                        </w:r>
                      </w:p>
                    </w:tc>
                    <w:tc>
                      <w:tcPr>
                        <w:tcW w:w="1392" w:type="dxa"/>
                        <w:shd w:val="clear" w:color="auto" w:fill="auto"/>
                      </w:tcPr>
                      <w:p w14:paraId="506FE6F1"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29C51C8D" w14:textId="77777777" w:rsidTr="00915A03">
                    <w:trPr>
                      <w:trHeight w:val="554"/>
                      <w:jc w:val="center"/>
                    </w:trPr>
                    <w:tc>
                      <w:tcPr>
                        <w:tcW w:w="1390" w:type="dxa"/>
                        <w:shd w:val="clear" w:color="auto" w:fill="auto"/>
                      </w:tcPr>
                      <w:p w14:paraId="21C5A1A5" w14:textId="77777777" w:rsidR="007733C3" w:rsidRPr="00390A9B" w:rsidRDefault="007733C3" w:rsidP="007733C3">
                        <w:pPr>
                          <w:pStyle w:val="NoSpacing"/>
                          <w:rPr>
                            <w:rFonts w:ascii="Arial" w:hAnsi="Arial" w:cs="Arial"/>
                          </w:rPr>
                        </w:pPr>
                        <w:r w:rsidRPr="00390A9B">
                          <w:rPr>
                            <w:rFonts w:ascii="Arial" w:hAnsi="Arial" w:cs="Arial"/>
                          </w:rPr>
                          <w:t xml:space="preserve">LFTs </w:t>
                        </w:r>
                      </w:p>
                    </w:tc>
                    <w:tc>
                      <w:tcPr>
                        <w:tcW w:w="1444" w:type="dxa"/>
                        <w:vMerge/>
                        <w:shd w:val="clear" w:color="auto" w:fill="auto"/>
                      </w:tcPr>
                      <w:p w14:paraId="35D701A5" w14:textId="77777777" w:rsidR="007733C3" w:rsidRPr="00390A9B" w:rsidRDefault="007733C3" w:rsidP="007733C3">
                        <w:pPr>
                          <w:pStyle w:val="NoSpacing"/>
                          <w:rPr>
                            <w:rFonts w:ascii="Arial" w:hAnsi="Arial" w:cs="Arial"/>
                          </w:rPr>
                        </w:pPr>
                      </w:p>
                    </w:tc>
                    <w:tc>
                      <w:tcPr>
                        <w:tcW w:w="1219" w:type="dxa"/>
                        <w:shd w:val="clear" w:color="auto" w:fill="auto"/>
                      </w:tcPr>
                      <w:p w14:paraId="1466F474" w14:textId="77777777" w:rsidR="007733C3" w:rsidRPr="00390A9B" w:rsidRDefault="007733C3" w:rsidP="007733C3">
                        <w:pPr>
                          <w:pStyle w:val="NoSpacing"/>
                          <w:rPr>
                            <w:rFonts w:ascii="Arial" w:hAnsi="Arial" w:cs="Arial"/>
                          </w:rPr>
                        </w:pPr>
                      </w:p>
                      <w:p w14:paraId="4CBCD3FE" w14:textId="7AD7D17D" w:rsidR="007733C3" w:rsidRPr="00390A9B" w:rsidRDefault="007733C3" w:rsidP="007733C3">
                        <w:pPr>
                          <w:pStyle w:val="NoSpacing"/>
                          <w:rPr>
                            <w:rFonts w:ascii="Arial" w:hAnsi="Arial" w:cs="Arial"/>
                          </w:rPr>
                        </w:pPr>
                        <w:r w:rsidRPr="00390A9B">
                          <w:rPr>
                            <w:rFonts w:ascii="Arial" w:hAnsi="Arial" w:cs="Arial"/>
                          </w:rPr>
                          <w:t>√</w:t>
                        </w:r>
                        <w:r w:rsidR="002926D9">
                          <w:rPr>
                            <w:rFonts w:ascii="Arial" w:hAnsi="Arial" w:cs="Arial"/>
                          </w:rPr>
                          <w:t xml:space="preserve"> including </w:t>
                        </w:r>
                        <w:r w:rsidR="002926D9" w:rsidRPr="00D7659F">
                          <w:rPr>
                            <w:rFonts w:ascii="Arial" w:eastAsia="Times New Roman" w:hAnsi="Arial" w:cs="Arial"/>
                            <w:lang w:eastAsia="en-GB"/>
                          </w:rPr>
                          <w:t>serum transaminases, bilirubin and/or gamma-glutamyl transferase.</w:t>
                        </w:r>
                      </w:p>
                    </w:tc>
                    <w:tc>
                      <w:tcPr>
                        <w:tcW w:w="1493" w:type="dxa"/>
                        <w:shd w:val="clear" w:color="auto" w:fill="auto"/>
                      </w:tcPr>
                      <w:p w14:paraId="031D868D" w14:textId="77777777" w:rsidR="007733C3" w:rsidRPr="00390A9B" w:rsidRDefault="007733C3" w:rsidP="007733C3">
                        <w:pPr>
                          <w:pStyle w:val="NoSpacing"/>
                          <w:rPr>
                            <w:rFonts w:ascii="Arial" w:hAnsi="Arial" w:cs="Arial"/>
                          </w:rPr>
                        </w:pPr>
                      </w:p>
                      <w:p w14:paraId="1EBF8972"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35089310" w14:textId="77777777" w:rsidR="007733C3" w:rsidRPr="00390A9B" w:rsidRDefault="007733C3" w:rsidP="007733C3">
                        <w:pPr>
                          <w:pStyle w:val="NoSpacing"/>
                          <w:rPr>
                            <w:rFonts w:ascii="Arial" w:hAnsi="Arial" w:cs="Arial"/>
                          </w:rPr>
                        </w:pPr>
                      </w:p>
                    </w:tc>
                    <w:tc>
                      <w:tcPr>
                        <w:tcW w:w="2025" w:type="dxa"/>
                        <w:shd w:val="pct10" w:color="auto" w:fill="auto"/>
                      </w:tcPr>
                      <w:p w14:paraId="24FEA395"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57D64BA4" w14:textId="77777777" w:rsidR="007733C3" w:rsidRPr="00390A9B" w:rsidRDefault="007733C3" w:rsidP="007733C3">
                        <w:pPr>
                          <w:pStyle w:val="NoSpacing"/>
                          <w:rPr>
                            <w:rFonts w:ascii="Arial" w:hAnsi="Arial" w:cs="Arial"/>
                          </w:rPr>
                        </w:pPr>
                        <w:r w:rsidRPr="00390A9B">
                          <w:rPr>
                            <w:rFonts w:ascii="Arial" w:hAnsi="Arial" w:cs="Arial"/>
                          </w:rPr>
                          <w:t xml:space="preserve">3 monthly for the first year then annually </w:t>
                        </w:r>
                      </w:p>
                    </w:tc>
                    <w:tc>
                      <w:tcPr>
                        <w:tcW w:w="1392" w:type="dxa"/>
                        <w:shd w:val="clear" w:color="auto" w:fill="auto"/>
                      </w:tcPr>
                      <w:p w14:paraId="5320BB7A"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403A1180" w14:textId="77777777" w:rsidTr="00915A03">
                    <w:trPr>
                      <w:trHeight w:val="451"/>
                      <w:jc w:val="center"/>
                    </w:trPr>
                    <w:tc>
                      <w:tcPr>
                        <w:tcW w:w="1390" w:type="dxa"/>
                        <w:shd w:val="clear" w:color="auto" w:fill="auto"/>
                      </w:tcPr>
                      <w:p w14:paraId="09E50FEA" w14:textId="77777777" w:rsidR="007733C3" w:rsidRPr="00390A9B" w:rsidRDefault="007733C3" w:rsidP="007733C3">
                        <w:pPr>
                          <w:pStyle w:val="NoSpacing"/>
                          <w:rPr>
                            <w:rFonts w:ascii="Arial" w:hAnsi="Arial" w:cs="Arial"/>
                          </w:rPr>
                        </w:pPr>
                        <w:r w:rsidRPr="00390A9B">
                          <w:rPr>
                            <w:rFonts w:ascii="Arial" w:hAnsi="Arial" w:cs="Arial"/>
                          </w:rPr>
                          <w:t>FBC</w:t>
                        </w:r>
                      </w:p>
                    </w:tc>
                    <w:tc>
                      <w:tcPr>
                        <w:tcW w:w="1444" w:type="dxa"/>
                        <w:vMerge/>
                        <w:shd w:val="clear" w:color="auto" w:fill="auto"/>
                      </w:tcPr>
                      <w:p w14:paraId="33A02A72" w14:textId="77777777" w:rsidR="007733C3" w:rsidRPr="00390A9B" w:rsidRDefault="007733C3" w:rsidP="007733C3">
                        <w:pPr>
                          <w:pStyle w:val="NoSpacing"/>
                          <w:rPr>
                            <w:rFonts w:ascii="Arial" w:hAnsi="Arial" w:cs="Arial"/>
                          </w:rPr>
                        </w:pPr>
                      </w:p>
                    </w:tc>
                    <w:tc>
                      <w:tcPr>
                        <w:tcW w:w="1219" w:type="dxa"/>
                        <w:shd w:val="clear" w:color="auto" w:fill="auto"/>
                      </w:tcPr>
                      <w:p w14:paraId="22893839" w14:textId="77777777" w:rsidR="007733C3" w:rsidRPr="00390A9B" w:rsidRDefault="007733C3" w:rsidP="007733C3">
                        <w:pPr>
                          <w:pStyle w:val="NoSpacing"/>
                          <w:rPr>
                            <w:rFonts w:ascii="Arial" w:hAnsi="Arial" w:cs="Arial"/>
                          </w:rPr>
                        </w:pPr>
                      </w:p>
                      <w:p w14:paraId="053EB043"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50FCADBD"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08A21CBB" w14:textId="77777777" w:rsidR="007733C3" w:rsidRPr="00390A9B" w:rsidRDefault="007733C3" w:rsidP="007733C3">
                        <w:pPr>
                          <w:pStyle w:val="NoSpacing"/>
                          <w:rPr>
                            <w:rFonts w:ascii="Arial" w:hAnsi="Arial" w:cs="Arial"/>
                          </w:rPr>
                        </w:pPr>
                      </w:p>
                      <w:p w14:paraId="4E34E915" w14:textId="77777777" w:rsidR="007733C3" w:rsidRPr="00390A9B" w:rsidRDefault="007733C3" w:rsidP="007733C3">
                        <w:pPr>
                          <w:pStyle w:val="NoSpacing"/>
                          <w:rPr>
                            <w:rFonts w:ascii="Arial" w:hAnsi="Arial" w:cs="Arial"/>
                          </w:rPr>
                        </w:pPr>
                      </w:p>
                    </w:tc>
                    <w:tc>
                      <w:tcPr>
                        <w:tcW w:w="2025" w:type="dxa"/>
                        <w:shd w:val="pct10" w:color="auto" w:fill="auto"/>
                      </w:tcPr>
                      <w:p w14:paraId="5EDE987A"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1C8C75F6" w14:textId="77777777" w:rsidR="007733C3" w:rsidRPr="00390A9B" w:rsidRDefault="007733C3" w:rsidP="007733C3">
                        <w:pPr>
                          <w:pStyle w:val="NoSpacing"/>
                          <w:rPr>
                            <w:rFonts w:ascii="Arial" w:hAnsi="Arial" w:cs="Arial"/>
                          </w:rPr>
                        </w:pPr>
                        <w:r w:rsidRPr="00390A9B">
                          <w:rPr>
                            <w:rFonts w:ascii="Arial" w:hAnsi="Arial" w:cs="Arial"/>
                          </w:rPr>
                          <w:t>3 monthly for the first year then annually</w:t>
                        </w:r>
                      </w:p>
                    </w:tc>
                    <w:tc>
                      <w:tcPr>
                        <w:tcW w:w="1392" w:type="dxa"/>
                        <w:shd w:val="clear" w:color="auto" w:fill="auto"/>
                      </w:tcPr>
                      <w:p w14:paraId="53961896"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69551091" w14:textId="77777777" w:rsidTr="00915A03">
                    <w:trPr>
                      <w:trHeight w:val="1422"/>
                      <w:jc w:val="center"/>
                    </w:trPr>
                    <w:tc>
                      <w:tcPr>
                        <w:tcW w:w="1390" w:type="dxa"/>
                        <w:shd w:val="clear" w:color="auto" w:fill="auto"/>
                      </w:tcPr>
                      <w:p w14:paraId="0EBE41A1" w14:textId="77777777" w:rsidR="007733C3" w:rsidRPr="00390A9B" w:rsidRDefault="007733C3" w:rsidP="007733C3">
                        <w:pPr>
                          <w:pStyle w:val="NoSpacing"/>
                          <w:rPr>
                            <w:rFonts w:ascii="Arial" w:hAnsi="Arial" w:cs="Arial"/>
                          </w:rPr>
                        </w:pPr>
                        <w:r w:rsidRPr="00390A9B">
                          <w:rPr>
                            <w:rFonts w:ascii="Arial" w:hAnsi="Arial" w:cs="Arial"/>
                          </w:rPr>
                          <w:t>WCC</w:t>
                        </w:r>
                      </w:p>
                    </w:tc>
                    <w:tc>
                      <w:tcPr>
                        <w:tcW w:w="1444" w:type="dxa"/>
                        <w:vMerge/>
                        <w:shd w:val="clear" w:color="auto" w:fill="auto"/>
                      </w:tcPr>
                      <w:p w14:paraId="33E88712" w14:textId="77777777" w:rsidR="007733C3" w:rsidRPr="00390A9B" w:rsidRDefault="007733C3" w:rsidP="007733C3">
                        <w:pPr>
                          <w:pStyle w:val="NoSpacing"/>
                          <w:rPr>
                            <w:rFonts w:ascii="Arial" w:hAnsi="Arial" w:cs="Arial"/>
                          </w:rPr>
                        </w:pPr>
                      </w:p>
                    </w:tc>
                    <w:tc>
                      <w:tcPr>
                        <w:tcW w:w="1219" w:type="dxa"/>
                        <w:shd w:val="clear" w:color="auto" w:fill="auto"/>
                      </w:tcPr>
                      <w:p w14:paraId="7A927F3F"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61289F8D" w14:textId="77777777" w:rsidR="007733C3" w:rsidRPr="00390A9B" w:rsidRDefault="007733C3" w:rsidP="007733C3">
                        <w:pPr>
                          <w:pStyle w:val="NoSpacing"/>
                          <w:rPr>
                            <w:rFonts w:ascii="Arial" w:hAnsi="Arial" w:cs="Arial"/>
                          </w:rPr>
                        </w:pPr>
                      </w:p>
                      <w:p w14:paraId="6E7DD43D"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6C441734" w14:textId="77777777" w:rsidR="007733C3" w:rsidRPr="00390A9B" w:rsidRDefault="007733C3" w:rsidP="007733C3">
                        <w:pPr>
                          <w:pStyle w:val="NoSpacing"/>
                          <w:rPr>
                            <w:rFonts w:ascii="Arial" w:hAnsi="Arial" w:cs="Arial"/>
                          </w:rPr>
                        </w:pPr>
                      </w:p>
                    </w:tc>
                    <w:tc>
                      <w:tcPr>
                        <w:tcW w:w="2025" w:type="dxa"/>
                        <w:shd w:val="pct10" w:color="auto" w:fill="auto"/>
                      </w:tcPr>
                      <w:p w14:paraId="0B3B073A"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7290EDBF" w14:textId="77777777" w:rsidR="007733C3" w:rsidRPr="00390A9B" w:rsidRDefault="007733C3" w:rsidP="007733C3">
                        <w:pPr>
                          <w:pStyle w:val="NoSpacing"/>
                          <w:rPr>
                            <w:rFonts w:ascii="Arial" w:hAnsi="Arial" w:cs="Arial"/>
                          </w:rPr>
                        </w:pPr>
                        <w:r w:rsidRPr="00390A9B">
                          <w:rPr>
                            <w:rFonts w:ascii="Arial" w:hAnsi="Arial" w:cs="Arial"/>
                          </w:rPr>
                          <w:t>3 monthly for the first year then annually</w:t>
                        </w:r>
                      </w:p>
                    </w:tc>
                    <w:tc>
                      <w:tcPr>
                        <w:tcW w:w="1392" w:type="dxa"/>
                        <w:shd w:val="clear" w:color="auto" w:fill="auto"/>
                      </w:tcPr>
                      <w:p w14:paraId="3CFDA2A3"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bl>
                <w:p w14:paraId="774AEC50" w14:textId="77777777" w:rsidR="0015736E" w:rsidRDefault="0015736E" w:rsidP="0015736E">
                  <w:pPr>
                    <w:spacing w:after="40"/>
                  </w:pPr>
                </w:p>
                <w:p w14:paraId="10589F58" w14:textId="77777777"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32E5A433" w14:textId="0147B730" w:rsidR="00710AA9" w:rsidRDefault="00710AA9" w:rsidP="00EF3E34">
                  <w:pPr>
                    <w:spacing w:after="12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E06022">
                    <w:rPr>
                      <w:rFonts w:ascii="Arial" w:hAnsi="Arial" w:cs="Arial"/>
                    </w:rPr>
                    <w:t>.</w:t>
                  </w:r>
                </w:p>
                <w:tbl>
                  <w:tblPr>
                    <w:tblStyle w:val="TableGrid"/>
                    <w:tblW w:w="0" w:type="auto"/>
                    <w:tblLook w:val="04A0" w:firstRow="1" w:lastRow="0" w:firstColumn="1" w:lastColumn="0" w:noHBand="0" w:noVBand="1"/>
                  </w:tblPr>
                  <w:tblGrid>
                    <w:gridCol w:w="4261"/>
                    <w:gridCol w:w="6072"/>
                  </w:tblGrid>
                  <w:tr w:rsidR="0015736E" w:rsidRPr="00307B2B" w14:paraId="63B725BE" w14:textId="77777777" w:rsidTr="00307B2B">
                    <w:trPr>
                      <w:trHeight w:val="280"/>
                    </w:trPr>
                    <w:tc>
                      <w:tcPr>
                        <w:tcW w:w="4261" w:type="dxa"/>
                      </w:tcPr>
                      <w:p w14:paraId="2ED8F8F8" w14:textId="77777777" w:rsidR="0015736E" w:rsidRPr="00307B2B" w:rsidRDefault="0015736E" w:rsidP="0015736E">
                        <w:pPr>
                          <w:jc w:val="center"/>
                          <w:rPr>
                            <w:rFonts w:ascii="Arial" w:hAnsi="Arial" w:cs="Arial"/>
                            <w:b/>
                          </w:rPr>
                        </w:pPr>
                        <w:r w:rsidRPr="00307B2B">
                          <w:rPr>
                            <w:rFonts w:ascii="Arial" w:hAnsi="Arial" w:cs="Arial"/>
                            <w:b/>
                          </w:rPr>
                          <w:t>Abnormal Result</w:t>
                        </w:r>
                      </w:p>
                    </w:tc>
                    <w:tc>
                      <w:tcPr>
                        <w:tcW w:w="6072" w:type="dxa"/>
                        <w:shd w:val="pct10" w:color="auto" w:fill="auto"/>
                      </w:tcPr>
                      <w:p w14:paraId="54D3FDA9" w14:textId="77777777" w:rsidR="0015736E" w:rsidRPr="00307B2B" w:rsidRDefault="0015736E" w:rsidP="0015736E">
                        <w:pPr>
                          <w:jc w:val="center"/>
                          <w:rPr>
                            <w:rFonts w:ascii="Arial" w:hAnsi="Arial" w:cs="Arial"/>
                            <w:b/>
                          </w:rPr>
                        </w:pPr>
                        <w:r w:rsidRPr="00307B2B">
                          <w:rPr>
                            <w:rFonts w:ascii="Arial" w:hAnsi="Arial" w:cs="Arial"/>
                            <w:b/>
                          </w:rPr>
                          <w:t>Action to be taken by GP</w:t>
                        </w:r>
                      </w:p>
                    </w:tc>
                  </w:tr>
                  <w:tr w:rsidR="0015736E" w:rsidRPr="00307B2B" w14:paraId="204864BF" w14:textId="77777777" w:rsidTr="00307B2B">
                    <w:trPr>
                      <w:trHeight w:val="724"/>
                    </w:trPr>
                    <w:tc>
                      <w:tcPr>
                        <w:tcW w:w="4261" w:type="dxa"/>
                      </w:tcPr>
                      <w:p w14:paraId="6A62E8D6" w14:textId="77777777" w:rsidR="00D95A4B" w:rsidRPr="00B061F6" w:rsidRDefault="00D95A4B" w:rsidP="00D95A4B">
                        <w:pPr>
                          <w:spacing w:before="60" w:after="60"/>
                          <w:rPr>
                            <w:rFonts w:ascii="Arial" w:eastAsia="Times New Roman" w:hAnsi="Arial" w:cs="Arial"/>
                            <w:bCs/>
                            <w:lang w:eastAsia="en-GB"/>
                          </w:rPr>
                        </w:pPr>
                        <w:r w:rsidRPr="00B061F6">
                          <w:rPr>
                            <w:rFonts w:ascii="Arial" w:eastAsia="Times New Roman" w:hAnsi="Arial" w:cs="Arial"/>
                            <w:bCs/>
                            <w:lang w:eastAsia="en-GB"/>
                          </w:rPr>
                          <w:t>Altered LFTs</w:t>
                        </w:r>
                      </w:p>
                      <w:p w14:paraId="042FD2B4" w14:textId="6F8B39DF" w:rsidR="0015736E" w:rsidRPr="00307B2B" w:rsidRDefault="00D95A4B" w:rsidP="00D95A4B">
                        <w:pPr>
                          <w:rPr>
                            <w:rFonts w:ascii="Arial" w:hAnsi="Arial" w:cs="Arial"/>
                          </w:rPr>
                        </w:pPr>
                        <w:r w:rsidRPr="00307B2B">
                          <w:rPr>
                            <w:rFonts w:ascii="Arial" w:eastAsia="Times New Roman" w:hAnsi="Arial" w:cs="Arial"/>
                            <w:lang w:eastAsia="en-GB"/>
                          </w:rPr>
                          <w:t>Elevated LFTs up to 5 times ULN</w:t>
                        </w:r>
                      </w:p>
                    </w:tc>
                    <w:tc>
                      <w:tcPr>
                        <w:tcW w:w="6072" w:type="dxa"/>
                        <w:shd w:val="pct10" w:color="auto" w:fill="auto"/>
                      </w:tcPr>
                      <w:p w14:paraId="39B2ED5A" w14:textId="5910B648" w:rsidR="0015736E" w:rsidRPr="00307B2B" w:rsidRDefault="00D95A4B" w:rsidP="00307B2B">
                        <w:pPr>
                          <w:rPr>
                            <w:rFonts w:ascii="Arial" w:hAnsi="Arial" w:cs="Arial"/>
                          </w:rPr>
                        </w:pPr>
                        <w:r w:rsidRPr="00307B2B">
                          <w:rPr>
                            <w:rFonts w:ascii="Arial" w:eastAsia="Times New Roman" w:hAnsi="Arial" w:cs="Arial"/>
                            <w:lang w:eastAsia="en-GB"/>
                          </w:rPr>
                          <w:t>Continue riluzole and discuss with specialist. Increase monitoring frequency if ALT is elevated.</w:t>
                        </w:r>
                      </w:p>
                    </w:tc>
                  </w:tr>
                  <w:tr w:rsidR="0015736E" w:rsidRPr="00307B2B" w14:paraId="737E5768" w14:textId="77777777" w:rsidTr="00307B2B">
                    <w:tc>
                      <w:tcPr>
                        <w:tcW w:w="4261" w:type="dxa"/>
                      </w:tcPr>
                      <w:p w14:paraId="144DBF11" w14:textId="2BFB1560" w:rsidR="0015736E" w:rsidRPr="00307B2B" w:rsidRDefault="006A2066" w:rsidP="00307B2B">
                        <w:pPr>
                          <w:rPr>
                            <w:rFonts w:ascii="Arial" w:hAnsi="Arial" w:cs="Arial"/>
                          </w:rPr>
                        </w:pPr>
                        <w:r w:rsidRPr="006A2066">
                          <w:rPr>
                            <w:rFonts w:ascii="Arial" w:eastAsia="Times New Roman" w:hAnsi="Arial" w:cs="Arial"/>
                            <w:lang w:eastAsia="en-GB"/>
                          </w:rPr>
                          <w:t>ALT rises to 5 times ULN or more</w:t>
                        </w:r>
                      </w:p>
                    </w:tc>
                    <w:tc>
                      <w:tcPr>
                        <w:tcW w:w="6072" w:type="dxa"/>
                        <w:shd w:val="pct10" w:color="auto" w:fill="auto"/>
                      </w:tcPr>
                      <w:p w14:paraId="0DB85415" w14:textId="3A1C6E36" w:rsidR="0015736E" w:rsidRPr="00307B2B" w:rsidRDefault="00D95A4B" w:rsidP="0015736E">
                        <w:pPr>
                          <w:rPr>
                            <w:rFonts w:ascii="Arial" w:hAnsi="Arial" w:cs="Arial"/>
                          </w:rPr>
                        </w:pPr>
                        <w:r w:rsidRPr="00307B2B">
                          <w:rPr>
                            <w:rFonts w:ascii="Arial" w:eastAsia="Times New Roman" w:hAnsi="Arial" w:cs="Arial"/>
                            <w:lang w:eastAsia="en-GB"/>
                          </w:rPr>
                          <w:t>Stop riluzole and inform specialist. Riluzole should not normally be re-started.</w:t>
                        </w:r>
                      </w:p>
                    </w:tc>
                  </w:tr>
                  <w:tr w:rsidR="00D95A4B" w:rsidRPr="00307B2B" w14:paraId="0A91660D" w14:textId="77777777" w:rsidTr="00307B2B">
                    <w:tc>
                      <w:tcPr>
                        <w:tcW w:w="4261" w:type="dxa"/>
                      </w:tcPr>
                      <w:p w14:paraId="4ED277FB" w14:textId="7BF8904C" w:rsidR="00D95A4B" w:rsidRPr="00B061F6" w:rsidRDefault="00D95A4B" w:rsidP="00D95A4B">
                        <w:pPr>
                          <w:tabs>
                            <w:tab w:val="left" w:pos="1440"/>
                          </w:tabs>
                          <w:rPr>
                            <w:rFonts w:ascii="Arial" w:hAnsi="Arial" w:cs="Arial"/>
                          </w:rPr>
                        </w:pPr>
                        <w:r w:rsidRPr="00B061F6">
                          <w:rPr>
                            <w:rFonts w:ascii="Arial" w:eastAsia="Times New Roman" w:hAnsi="Arial" w:cs="Arial"/>
                            <w:lang w:eastAsia="en-GB"/>
                          </w:rPr>
                          <w:lastRenderedPageBreak/>
                          <w:t>Decreased WCC to below lower limit of local reference range</w:t>
                        </w:r>
                      </w:p>
                    </w:tc>
                    <w:tc>
                      <w:tcPr>
                        <w:tcW w:w="6072" w:type="dxa"/>
                        <w:shd w:val="pct10" w:color="auto" w:fill="auto"/>
                      </w:tcPr>
                      <w:p w14:paraId="4EABCBF0" w14:textId="77777777" w:rsidR="00D95A4B" w:rsidRPr="00307B2B" w:rsidRDefault="00D95A4B" w:rsidP="00D95A4B">
                        <w:pPr>
                          <w:rPr>
                            <w:rFonts w:ascii="Arial" w:hAnsi="Arial" w:cs="Arial"/>
                            <w:lang w:eastAsia="en-GB"/>
                          </w:rPr>
                        </w:pPr>
                        <w:r w:rsidRPr="00307B2B">
                          <w:rPr>
                            <w:rFonts w:ascii="Arial" w:hAnsi="Arial" w:cs="Arial"/>
                            <w:lang w:eastAsia="en-GB"/>
                          </w:rPr>
                          <w:t>If clinical evidence of febrile illness/neutropenia, stop riluzole and treat or refer according to local pathways, as appropriate. Arrange for immediate hospital assessment if neutropenic sepsis is suspected.</w:t>
                        </w:r>
                      </w:p>
                      <w:p w14:paraId="7B51C221" w14:textId="2FBB950C" w:rsidR="00D95A4B" w:rsidRPr="00307B2B" w:rsidRDefault="00D95A4B" w:rsidP="00D95A4B">
                        <w:pPr>
                          <w:tabs>
                            <w:tab w:val="left" w:pos="1440"/>
                          </w:tabs>
                          <w:rPr>
                            <w:rFonts w:ascii="Arial" w:hAnsi="Arial" w:cs="Arial"/>
                          </w:rPr>
                        </w:pPr>
                        <w:r w:rsidRPr="00307B2B">
                          <w:rPr>
                            <w:rFonts w:ascii="Arial" w:hAnsi="Arial" w:cs="Arial"/>
                            <w:lang w:eastAsia="en-GB"/>
                          </w:rPr>
                          <w:t>In the absence of febrile illness or clinical signs of neutropenia, seek advice from specialist.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79858F3A"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4</w:t>
      </w:r>
      <w:r w:rsidRPr="00D7659F">
        <w:rPr>
          <w:rFonts w:ascii="Arial" w:hAnsi="Arial" w:cs="Arial"/>
        </w:rPr>
        <w:t xml:space="preserve">). </w:t>
      </w:r>
    </w:p>
    <w:p w14:paraId="0DC690BA" w14:textId="46FAC02D" w:rsidR="00D7659F" w:rsidRDefault="00D7659F" w:rsidP="00BE545B">
      <w:pPr>
        <w:spacing w:after="120" w:line="240" w:lineRule="auto"/>
        <w:rPr>
          <w:rFonts w:ascii="Arial" w:eastAsia="Times New Roman" w:hAnsi="Arial" w:cs="Arial"/>
          <w:b/>
          <w:sz w:val="28"/>
          <w:szCs w:val="24"/>
          <w:u w:val="single"/>
          <w:lang w:val="en-US"/>
        </w:rPr>
      </w:pPr>
    </w:p>
    <w:p w14:paraId="1CAB5AA9" w14:textId="74C1D6D7" w:rsidR="00252C6B" w:rsidRDefault="00252C6B" w:rsidP="00BE545B">
      <w:pPr>
        <w:spacing w:after="120" w:line="240" w:lineRule="auto"/>
        <w:rPr>
          <w:rFonts w:ascii="Arial" w:eastAsia="Times New Roman" w:hAnsi="Arial" w:cs="Arial"/>
          <w:b/>
          <w:sz w:val="28"/>
          <w:szCs w:val="24"/>
          <w:u w:val="single"/>
          <w:lang w:val="en-US"/>
        </w:rPr>
      </w:pPr>
    </w:p>
    <w:p w14:paraId="4B5BE0F4" w14:textId="1ED1CB62" w:rsidR="00252C6B" w:rsidRDefault="00252C6B" w:rsidP="00BE545B">
      <w:pPr>
        <w:spacing w:after="120" w:line="240" w:lineRule="auto"/>
        <w:rPr>
          <w:rFonts w:ascii="Arial" w:eastAsia="Times New Roman" w:hAnsi="Arial" w:cs="Arial"/>
          <w:b/>
          <w:sz w:val="28"/>
          <w:szCs w:val="24"/>
          <w:u w:val="single"/>
          <w:lang w:val="en-US"/>
        </w:rPr>
      </w:pPr>
    </w:p>
    <w:p w14:paraId="717420CD" w14:textId="0F1B4D24" w:rsidR="00252C6B" w:rsidRDefault="00252C6B" w:rsidP="00BE545B">
      <w:pPr>
        <w:spacing w:after="120" w:line="240" w:lineRule="auto"/>
        <w:rPr>
          <w:rFonts w:ascii="Arial" w:eastAsia="Times New Roman" w:hAnsi="Arial" w:cs="Arial"/>
          <w:b/>
          <w:sz w:val="28"/>
          <w:szCs w:val="24"/>
          <w:u w:val="single"/>
          <w:lang w:val="en-US"/>
        </w:rPr>
      </w:pPr>
    </w:p>
    <w:p w14:paraId="256B0A83" w14:textId="167F126B" w:rsidR="00252C6B" w:rsidRDefault="00252C6B" w:rsidP="00BE545B">
      <w:pPr>
        <w:spacing w:after="120" w:line="240" w:lineRule="auto"/>
        <w:rPr>
          <w:rFonts w:ascii="Arial" w:eastAsia="Times New Roman" w:hAnsi="Arial" w:cs="Arial"/>
          <w:b/>
          <w:sz w:val="28"/>
          <w:szCs w:val="24"/>
          <w:u w:val="single"/>
          <w:lang w:val="en-US"/>
        </w:rPr>
      </w:pPr>
    </w:p>
    <w:p w14:paraId="23F249A5" w14:textId="21001051" w:rsidR="00252C6B" w:rsidRDefault="00252C6B" w:rsidP="00BE545B">
      <w:pPr>
        <w:spacing w:after="120" w:line="240" w:lineRule="auto"/>
        <w:rPr>
          <w:rFonts w:ascii="Arial" w:eastAsia="Times New Roman" w:hAnsi="Arial" w:cs="Arial"/>
          <w:b/>
          <w:sz w:val="28"/>
          <w:szCs w:val="24"/>
          <w:u w:val="single"/>
          <w:lang w:val="en-US"/>
        </w:rPr>
      </w:pPr>
    </w:p>
    <w:p w14:paraId="1A7EB0F2" w14:textId="0956EC44" w:rsidR="00252C6B" w:rsidRDefault="00252C6B" w:rsidP="00BE545B">
      <w:pPr>
        <w:spacing w:after="120" w:line="240" w:lineRule="auto"/>
        <w:rPr>
          <w:rFonts w:ascii="Arial" w:eastAsia="Times New Roman" w:hAnsi="Arial" w:cs="Arial"/>
          <w:b/>
          <w:sz w:val="28"/>
          <w:szCs w:val="24"/>
          <w:u w:val="single"/>
          <w:lang w:val="en-US"/>
        </w:rPr>
      </w:pPr>
    </w:p>
    <w:p w14:paraId="66B29097" w14:textId="6B61F148" w:rsidR="00252C6B" w:rsidRDefault="00252C6B" w:rsidP="00BE545B">
      <w:pPr>
        <w:spacing w:after="120" w:line="240" w:lineRule="auto"/>
        <w:rPr>
          <w:rFonts w:ascii="Arial" w:eastAsia="Times New Roman" w:hAnsi="Arial" w:cs="Arial"/>
          <w:b/>
          <w:sz w:val="28"/>
          <w:szCs w:val="24"/>
          <w:u w:val="single"/>
          <w:lang w:val="en-US"/>
        </w:rPr>
      </w:pPr>
    </w:p>
    <w:p w14:paraId="27723DBC" w14:textId="64B72265" w:rsidR="00252C6B" w:rsidRDefault="00252C6B" w:rsidP="00BE545B">
      <w:pPr>
        <w:spacing w:after="120" w:line="240" w:lineRule="auto"/>
        <w:rPr>
          <w:rFonts w:ascii="Arial" w:eastAsia="Times New Roman" w:hAnsi="Arial" w:cs="Arial"/>
          <w:b/>
          <w:sz w:val="28"/>
          <w:szCs w:val="24"/>
          <w:u w:val="single"/>
          <w:lang w:val="en-US"/>
        </w:rPr>
      </w:pPr>
    </w:p>
    <w:p w14:paraId="60AF795F" w14:textId="46D014F1" w:rsidR="00252C6B" w:rsidRDefault="00252C6B" w:rsidP="00BE545B">
      <w:pPr>
        <w:spacing w:after="120" w:line="240" w:lineRule="auto"/>
        <w:rPr>
          <w:rFonts w:ascii="Arial" w:eastAsia="Times New Roman" w:hAnsi="Arial" w:cs="Arial"/>
          <w:b/>
          <w:sz w:val="28"/>
          <w:szCs w:val="24"/>
          <w:u w:val="single"/>
          <w:lang w:val="en-US"/>
        </w:rPr>
      </w:pPr>
    </w:p>
    <w:p w14:paraId="37C03CD0" w14:textId="64E9DA8A" w:rsidR="00252C6B" w:rsidRDefault="00252C6B" w:rsidP="00BE545B">
      <w:pPr>
        <w:spacing w:after="120" w:line="240" w:lineRule="auto"/>
        <w:rPr>
          <w:rFonts w:ascii="Arial" w:eastAsia="Times New Roman" w:hAnsi="Arial" w:cs="Arial"/>
          <w:b/>
          <w:sz w:val="28"/>
          <w:szCs w:val="24"/>
          <w:u w:val="single"/>
          <w:lang w:val="en-US"/>
        </w:rPr>
      </w:pPr>
    </w:p>
    <w:p w14:paraId="7A71DE4F" w14:textId="7D6A7867" w:rsidR="00252C6B" w:rsidRDefault="00252C6B" w:rsidP="00BE545B">
      <w:pPr>
        <w:spacing w:after="120" w:line="240" w:lineRule="auto"/>
        <w:rPr>
          <w:rFonts w:ascii="Arial" w:eastAsia="Times New Roman" w:hAnsi="Arial" w:cs="Arial"/>
          <w:b/>
          <w:sz w:val="28"/>
          <w:szCs w:val="24"/>
          <w:u w:val="single"/>
          <w:lang w:val="en-US"/>
        </w:rPr>
      </w:pPr>
    </w:p>
    <w:p w14:paraId="789A036C" w14:textId="478237C0" w:rsidR="00252C6B" w:rsidRDefault="00252C6B" w:rsidP="00BE545B">
      <w:pPr>
        <w:spacing w:after="120" w:line="240" w:lineRule="auto"/>
        <w:rPr>
          <w:rFonts w:ascii="Arial" w:eastAsia="Times New Roman" w:hAnsi="Arial" w:cs="Arial"/>
          <w:b/>
          <w:sz w:val="28"/>
          <w:szCs w:val="24"/>
          <w:u w:val="single"/>
          <w:lang w:val="en-US"/>
        </w:rPr>
      </w:pPr>
    </w:p>
    <w:p w14:paraId="69A1A1C8" w14:textId="78C8581C" w:rsidR="00252C6B" w:rsidRDefault="00252C6B" w:rsidP="00BE545B">
      <w:pPr>
        <w:spacing w:after="120" w:line="240" w:lineRule="auto"/>
        <w:rPr>
          <w:rFonts w:ascii="Arial" w:eastAsia="Times New Roman" w:hAnsi="Arial" w:cs="Arial"/>
          <w:b/>
          <w:sz w:val="28"/>
          <w:szCs w:val="24"/>
          <w:u w:val="single"/>
          <w:lang w:val="en-US"/>
        </w:rPr>
      </w:pPr>
    </w:p>
    <w:p w14:paraId="38E91DF0" w14:textId="622E4C17" w:rsidR="00252C6B" w:rsidRDefault="00252C6B" w:rsidP="00BE545B">
      <w:pPr>
        <w:spacing w:after="120" w:line="240" w:lineRule="auto"/>
        <w:rPr>
          <w:rFonts w:ascii="Arial" w:eastAsia="Times New Roman" w:hAnsi="Arial" w:cs="Arial"/>
          <w:b/>
          <w:sz w:val="28"/>
          <w:szCs w:val="24"/>
          <w:u w:val="single"/>
          <w:lang w:val="en-US"/>
        </w:rPr>
      </w:pPr>
    </w:p>
    <w:p w14:paraId="2529E845" w14:textId="53C077B5" w:rsidR="00252C6B" w:rsidRDefault="00252C6B" w:rsidP="00BE545B">
      <w:pPr>
        <w:spacing w:after="120" w:line="240" w:lineRule="auto"/>
        <w:rPr>
          <w:rFonts w:ascii="Arial" w:eastAsia="Times New Roman" w:hAnsi="Arial" w:cs="Arial"/>
          <w:b/>
          <w:sz w:val="28"/>
          <w:szCs w:val="24"/>
          <w:u w:val="single"/>
          <w:lang w:val="en-US"/>
        </w:rPr>
      </w:pPr>
    </w:p>
    <w:p w14:paraId="19BD3006" w14:textId="09E824C8" w:rsidR="00252C6B" w:rsidRDefault="00252C6B" w:rsidP="00BE545B">
      <w:pPr>
        <w:spacing w:after="120" w:line="240" w:lineRule="auto"/>
        <w:rPr>
          <w:rFonts w:ascii="Arial" w:eastAsia="Times New Roman" w:hAnsi="Arial" w:cs="Arial"/>
          <w:b/>
          <w:sz w:val="28"/>
          <w:szCs w:val="24"/>
          <w:u w:val="single"/>
          <w:lang w:val="en-US"/>
        </w:rPr>
      </w:pPr>
    </w:p>
    <w:p w14:paraId="29D7D4E4" w14:textId="580EE633" w:rsidR="00252C6B" w:rsidRDefault="00252C6B" w:rsidP="00BE545B">
      <w:pPr>
        <w:spacing w:after="120" w:line="240" w:lineRule="auto"/>
        <w:rPr>
          <w:rFonts w:ascii="Arial" w:eastAsia="Times New Roman" w:hAnsi="Arial" w:cs="Arial"/>
          <w:b/>
          <w:sz w:val="28"/>
          <w:szCs w:val="24"/>
          <w:u w:val="single"/>
          <w:lang w:val="en-US"/>
        </w:rPr>
      </w:pPr>
    </w:p>
    <w:p w14:paraId="4EA21548" w14:textId="3B17546E" w:rsidR="00252C6B" w:rsidRDefault="00252C6B" w:rsidP="00BE545B">
      <w:pPr>
        <w:spacing w:after="120" w:line="240" w:lineRule="auto"/>
        <w:rPr>
          <w:rFonts w:ascii="Arial" w:eastAsia="Times New Roman" w:hAnsi="Arial" w:cs="Arial"/>
          <w:b/>
          <w:sz w:val="28"/>
          <w:szCs w:val="24"/>
          <w:u w:val="single"/>
          <w:lang w:val="en-US"/>
        </w:rPr>
      </w:pPr>
    </w:p>
    <w:p w14:paraId="090EE1AC" w14:textId="1AF43191" w:rsidR="00252C6B" w:rsidRDefault="00252C6B" w:rsidP="00BE545B">
      <w:pPr>
        <w:spacing w:after="120" w:line="240" w:lineRule="auto"/>
        <w:rPr>
          <w:rFonts w:ascii="Arial" w:eastAsia="Times New Roman" w:hAnsi="Arial" w:cs="Arial"/>
          <w:b/>
          <w:sz w:val="28"/>
          <w:szCs w:val="24"/>
          <w:u w:val="single"/>
          <w:lang w:val="en-US"/>
        </w:rPr>
      </w:pPr>
    </w:p>
    <w:p w14:paraId="251E565A" w14:textId="17E389E6" w:rsidR="00252C6B" w:rsidRDefault="00252C6B" w:rsidP="00BE545B">
      <w:pPr>
        <w:spacing w:after="120" w:line="240" w:lineRule="auto"/>
        <w:rPr>
          <w:rFonts w:ascii="Arial" w:eastAsia="Times New Roman" w:hAnsi="Arial" w:cs="Arial"/>
          <w:b/>
          <w:sz w:val="28"/>
          <w:szCs w:val="24"/>
          <w:u w:val="single"/>
          <w:lang w:val="en-US"/>
        </w:rPr>
      </w:pPr>
    </w:p>
    <w:p w14:paraId="0F2DEFCF" w14:textId="705594F7" w:rsidR="00252C6B" w:rsidRDefault="00252C6B" w:rsidP="00BE545B">
      <w:pPr>
        <w:spacing w:after="120" w:line="240" w:lineRule="auto"/>
        <w:rPr>
          <w:rFonts w:ascii="Arial" w:eastAsia="Times New Roman" w:hAnsi="Arial" w:cs="Arial"/>
          <w:b/>
          <w:sz w:val="28"/>
          <w:szCs w:val="24"/>
          <w:u w:val="single"/>
          <w:lang w:val="en-US"/>
        </w:rPr>
      </w:pPr>
    </w:p>
    <w:p w14:paraId="1E40AD7C" w14:textId="324C3B4D" w:rsidR="00252C6B" w:rsidRDefault="00252C6B"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322DDC9D"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 xml:space="preserve">This form is used to agree shared care between the specialist, </w:t>
      </w:r>
      <w:proofErr w:type="gramStart"/>
      <w:r w:rsidRPr="00B62EE0">
        <w:rPr>
          <w:rFonts w:ascii="Arial" w:eastAsia="Times New Roman" w:hAnsi="Arial" w:cs="Arial"/>
          <w:b/>
          <w:sz w:val="24"/>
          <w:lang w:val="en-US"/>
        </w:rPr>
        <w:t>patient</w:t>
      </w:r>
      <w:proofErr w:type="gramEnd"/>
      <w:r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C4F521E" w14:textId="53EA4B2B"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r w:rsidR="00C67353">
        <w:rPr>
          <w:rFonts w:ascii="Arial" w:eastAsia="Times New Roman" w:hAnsi="Arial" w:cs="Arial"/>
          <w:lang w:val="en-US"/>
        </w:rPr>
        <w:t>HWE</w:t>
      </w:r>
      <w:r w:rsidRPr="002B0C19">
        <w:rPr>
          <w:rFonts w:ascii="Arial" w:eastAsia="Times New Roman" w:hAnsi="Arial" w:cs="Arial"/>
          <w:lang w:val="en-US"/>
        </w:rPr>
        <w:t xml:space="preserve"> </w:t>
      </w:r>
      <w:hyperlink r:id="rId8" w:history="1">
        <w:r w:rsidRPr="00252C6B">
          <w:rPr>
            <w:rStyle w:val="Hyperlink"/>
            <w:rFonts w:ascii="Arial" w:eastAsia="Times New Roman" w:hAnsi="Arial" w:cs="Arial"/>
            <w:lang w:val="en-US"/>
          </w:rPr>
          <w:t>shared care principles</w:t>
        </w:r>
      </w:hyperlink>
      <w:r w:rsidR="003763B3" w:rsidRPr="004579C4">
        <w:rPr>
          <w:rFonts w:ascii="Arial" w:eastAsia="Times New Roman" w:hAnsi="Arial" w:cs="Arial"/>
          <w:lang w:val="en-US"/>
        </w:rPr>
        <w:t xml:space="preserve"> </w:t>
      </w:r>
      <w:r w:rsidRPr="00121068">
        <w:rPr>
          <w:rFonts w:ascii="Arial" w:eastAsia="Times New Roman" w:hAnsi="Arial" w:cs="Arial"/>
          <w:lang w:val="en-US"/>
        </w:rPr>
        <w:t>and</w:t>
      </w:r>
    </w:p>
    <w:p w14:paraId="7A0E1BB1" w14:textId="77777777" w:rsidR="002F4544" w:rsidRPr="00603489"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18"/>
        <w:gridCol w:w="5216"/>
      </w:tblGrid>
      <w:tr w:rsidR="007319F6" w14:paraId="2A4C8EF2"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3EB7589C" w14:textId="77777777" w:rsidR="007319F6" w:rsidRDefault="007319F6" w:rsidP="00BD4A96">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1ACF35E3" w14:textId="77777777" w:rsidR="007319F6" w:rsidRDefault="007319F6" w:rsidP="00BD4A96">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1A52F772" w14:textId="77777777" w:rsidR="007319F6" w:rsidRDefault="007319F6" w:rsidP="00BD4A96">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7BEB89CE" w14:textId="77777777" w:rsidR="007319F6" w:rsidRDefault="007319F6" w:rsidP="00BD4A96">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8960" behindDoc="0" locked="0" layoutInCell="1" allowOverlap="1" wp14:anchorId="066D10D1" wp14:editId="212AE836">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42FB534C" w14:textId="77777777" w:rsidR="007319F6" w:rsidRPr="00474C2D" w:rsidRDefault="007319F6" w:rsidP="007319F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D10D1" id="Text Box 7" o:spid="_x0000_s1027" type="#_x0000_t202" style="position:absolute;left:0;text-align:left;margin-left:.85pt;margin-top:1.35pt;width:228.6pt;height:7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">
                      <v:stroke dashstyle="dash"/>
                      <v:textbox>
                        <w:txbxContent>
                          <w:p w14:paraId="42FB534C" w14:textId="77777777" w:rsidR="007319F6" w:rsidRPr="00474C2D" w:rsidRDefault="007319F6" w:rsidP="007319F6">
                            <w:pPr>
                              <w:rPr>
                                <w:rFonts w:ascii="Arial" w:hAnsi="Arial" w:cs="Arial"/>
                              </w:rPr>
                            </w:pPr>
                          </w:p>
                        </w:txbxContent>
                      </v:textbox>
                    </v:shape>
                  </w:pict>
                </mc:Fallback>
              </mc:AlternateContent>
            </w:r>
          </w:p>
          <w:p w14:paraId="1612A949" w14:textId="77777777" w:rsidR="007319F6" w:rsidRDefault="007319F6" w:rsidP="00BD4A96">
            <w:pPr>
              <w:spacing w:after="0" w:line="240" w:lineRule="auto"/>
              <w:jc w:val="both"/>
              <w:outlineLvl w:val="2"/>
              <w:rPr>
                <w:rFonts w:ascii="Arial" w:eastAsia="Times New Roman" w:hAnsi="Arial" w:cs="Arial"/>
                <w:b/>
                <w:lang w:val="en-US"/>
              </w:rPr>
            </w:pPr>
          </w:p>
          <w:p w14:paraId="64F51C53" w14:textId="77777777" w:rsidR="007319F6" w:rsidRDefault="007319F6" w:rsidP="00BD4A96">
            <w:pPr>
              <w:spacing w:after="0" w:line="240" w:lineRule="auto"/>
              <w:contextualSpacing/>
              <w:rPr>
                <w:rFonts w:ascii="Arial" w:hAnsi="Arial" w:cs="Arial"/>
                <w:b/>
              </w:rPr>
            </w:pPr>
          </w:p>
        </w:tc>
      </w:tr>
      <w:tr w:rsidR="007319F6" w14:paraId="1A31FB05"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561497E1" w14:textId="77777777" w:rsidR="007319F6" w:rsidRDefault="007319F6" w:rsidP="00BD4A96">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F1374E4" w14:textId="77777777" w:rsidR="007319F6" w:rsidRPr="002F4544" w:rsidRDefault="007319F6" w:rsidP="00BD4A96">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58784D15" w14:textId="77777777" w:rsidR="007319F6" w:rsidRPr="00474C2D" w:rsidRDefault="007319F6" w:rsidP="00BD4A96">
            <w:pPr>
              <w:spacing w:after="80" w:line="240" w:lineRule="auto"/>
              <w:jc w:val="both"/>
              <w:outlineLvl w:val="2"/>
              <w:rPr>
                <w:rFonts w:ascii="Arial" w:eastAsia="Times New Roman" w:hAnsi="Arial" w:cs="Arial"/>
                <w:b/>
                <w:noProof/>
                <w:lang w:eastAsia="en-GB"/>
              </w:rPr>
            </w:pPr>
          </w:p>
        </w:tc>
      </w:tr>
      <w:tr w:rsidR="007319F6" w14:paraId="0A750B37"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0A77A0DF" w14:textId="77777777" w:rsidR="007319F6" w:rsidRDefault="007319F6" w:rsidP="00BD4A96">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A634B60" w14:textId="77777777" w:rsidR="007319F6" w:rsidRDefault="007319F6" w:rsidP="00BD4A96">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3E4F7CD7" w14:textId="77777777" w:rsidR="007319F6" w:rsidRPr="00474C2D" w:rsidRDefault="007319F6" w:rsidP="00BD4A96">
            <w:pPr>
              <w:spacing w:after="80" w:line="240" w:lineRule="auto"/>
              <w:jc w:val="both"/>
              <w:outlineLvl w:val="2"/>
              <w:rPr>
                <w:rFonts w:ascii="Arial" w:eastAsia="Times New Roman" w:hAnsi="Arial" w:cs="Arial"/>
                <w:b/>
                <w:noProof/>
                <w:lang w:eastAsia="en-GB"/>
              </w:rPr>
            </w:pPr>
          </w:p>
        </w:tc>
      </w:tr>
      <w:tr w:rsidR="007319F6" w14:paraId="372BCD05"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473BFEEB" w14:textId="77777777" w:rsidR="007319F6" w:rsidRDefault="007319F6" w:rsidP="00BD4A96">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3AF5137" w14:textId="77777777" w:rsidR="007319F6" w:rsidRDefault="007319F6" w:rsidP="00BD4A96">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7CB8EA2" w14:textId="77777777" w:rsidR="007319F6" w:rsidRDefault="007319F6" w:rsidP="00BD4A96">
            <w:pPr>
              <w:spacing w:after="0" w:line="240" w:lineRule="auto"/>
              <w:contextualSpacing/>
              <w:rPr>
                <w:rFonts w:ascii="Arial" w:hAnsi="Arial" w:cs="Arial"/>
                <w:b/>
              </w:rPr>
            </w:pPr>
          </w:p>
        </w:tc>
      </w:tr>
      <w:tr w:rsidR="007319F6" w14:paraId="3F60602A"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26650F6F" w14:textId="77777777" w:rsidR="007319F6" w:rsidRDefault="007319F6" w:rsidP="00BD4A96">
            <w:pPr>
              <w:spacing w:after="0" w:line="240" w:lineRule="auto"/>
              <w:contextualSpacing/>
              <w:rPr>
                <w:rFonts w:ascii="Arial" w:hAnsi="Arial" w:cs="Arial"/>
                <w:b/>
              </w:rPr>
            </w:pPr>
            <w:r>
              <w:rPr>
                <w:rFonts w:ascii="Arial" w:hAnsi="Arial" w:cs="Arial"/>
                <w:b/>
              </w:rPr>
              <w:t>Email:</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EE44" w14:textId="77777777" w:rsidR="007319F6" w:rsidRDefault="007319F6" w:rsidP="00BD4A96">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77A717B" w14:textId="77777777" w:rsidR="007319F6" w:rsidRDefault="007319F6" w:rsidP="00BD4A96">
            <w:pPr>
              <w:spacing w:after="0" w:line="240" w:lineRule="auto"/>
              <w:contextualSpacing/>
              <w:rPr>
                <w:rFonts w:ascii="Arial" w:hAnsi="Arial" w:cs="Arial"/>
                <w:b/>
              </w:rPr>
            </w:pPr>
          </w:p>
        </w:tc>
      </w:tr>
      <w:tr w:rsidR="007319F6" w14:paraId="515D615D" w14:textId="77777777" w:rsidTr="00BD4A96">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6F55F4FC" w14:textId="77777777" w:rsidR="007319F6" w:rsidRDefault="007319F6" w:rsidP="00BD4A96">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4FA45D8F" w14:textId="77777777" w:rsidR="007319F6" w:rsidRDefault="007319F6" w:rsidP="00BD4A96">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FA61415" w14:textId="77777777" w:rsidR="007319F6" w:rsidRDefault="007319F6" w:rsidP="00BD4A96">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7319F6" w14:paraId="798E9A7B" w14:textId="77777777" w:rsidTr="009B01B2">
        <w:trPr>
          <w:trHeight w:val="512"/>
        </w:trPr>
        <w:tc>
          <w:tcPr>
            <w:tcW w:w="1980" w:type="dxa"/>
            <w:tcBorders>
              <w:top w:val="single" w:sz="4" w:space="0" w:color="auto"/>
              <w:left w:val="single" w:sz="4" w:space="0" w:color="auto"/>
              <w:bottom w:val="single" w:sz="4" w:space="0" w:color="auto"/>
              <w:right w:val="single" w:sz="4" w:space="0" w:color="auto"/>
            </w:tcBorders>
          </w:tcPr>
          <w:p w14:paraId="50A690C0" w14:textId="565B5B7E" w:rsidR="005D1D26" w:rsidRDefault="005D1D26" w:rsidP="005D1D26">
            <w:pPr>
              <w:spacing w:after="0" w:line="240" w:lineRule="auto"/>
              <w:contextualSpacing/>
              <w:rPr>
                <w:rFonts w:ascii="Arial" w:hAnsi="Arial" w:cs="Arial"/>
                <w:b/>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72E1EF22">
                      <wp:simplePos x="0" y="0"/>
                      <wp:positionH relativeFrom="column">
                        <wp:posOffset>-167005</wp:posOffset>
                      </wp:positionH>
                      <wp:positionV relativeFrom="paragraph">
                        <wp:posOffset>-2552700</wp:posOffset>
                      </wp:positionV>
                      <wp:extent cx="6726555" cy="3067050"/>
                      <wp:effectExtent l="0" t="0" r="1714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30670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3.15pt;margin-top:-201pt;width:529.65pt;height:241.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BIFgIAACcEAAAOAAAAZHJzL2Uyb0RvYy54bWysU81u2zAMvg/YOwi6L3a8OGmNOEWXLsOA&#10;7gfo9gCyLMfCZFGTlNjZ05eS3TTotsswHQRSpD6SH8n1zdApchTWSdAlnc9SSoTmUEu9L+n3b7s3&#10;V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">
                      <v:textbox>
                        <w:txbxContent>
                          <w:p w14:paraId="4D81A910" w14:textId="77777777" w:rsidR="00D95A4B" w:rsidRDefault="00D95A4B"/>
                        </w:txbxContent>
                      </v:textbox>
                    </v:shape>
                  </w:pict>
                </mc:Fallback>
              </mc:AlternateContent>
            </w: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3E1B59A8" w14:textId="6F7AD572" w:rsidR="007319F6" w:rsidRDefault="007319F6" w:rsidP="00BD4A96">
            <w:pPr>
              <w:spacing w:after="0" w:line="240" w:lineRule="auto"/>
              <w:contextualSpacing/>
              <w:rPr>
                <w:rFonts w:ascii="Arial" w:hAnsi="Arial" w:cs="Arial"/>
                <w:b/>
              </w:rPr>
            </w:pPr>
          </w:p>
        </w:tc>
        <w:tc>
          <w:tcPr>
            <w:tcW w:w="8334" w:type="dxa"/>
            <w:gridSpan w:val="2"/>
            <w:tcBorders>
              <w:top w:val="single" w:sz="4" w:space="0" w:color="auto"/>
              <w:left w:val="single" w:sz="4" w:space="0" w:color="auto"/>
              <w:bottom w:val="single" w:sz="4" w:space="0" w:color="auto"/>
              <w:right w:val="single" w:sz="4" w:space="0" w:color="auto"/>
            </w:tcBorders>
          </w:tcPr>
          <w:p w14:paraId="645EC712" w14:textId="5920E891" w:rsidR="005D1D26" w:rsidRDefault="005D1D26" w:rsidP="005D1D26">
            <w:pPr>
              <w:spacing w:after="0" w:line="240" w:lineRule="auto"/>
              <w:contextualSpacing/>
              <w:rPr>
                <w:rFonts w:ascii="Arial" w:hAnsi="Arial" w:cs="Arial"/>
                <w:b/>
              </w:rPr>
            </w:pPr>
            <w:r>
              <w:rPr>
                <w:rFonts w:ascii="Arial" w:hAnsi="Arial" w:cs="Arial"/>
                <w:b/>
              </w:rPr>
              <w:t xml:space="preserve">Patient </w:t>
            </w:r>
            <w:r w:rsidR="009B01B2">
              <w:rPr>
                <w:rFonts w:ascii="Arial" w:hAnsi="Arial" w:cs="Arial"/>
                <w:b/>
              </w:rPr>
              <w:t>s</w:t>
            </w:r>
            <w:r>
              <w:rPr>
                <w:rFonts w:ascii="Arial" w:hAnsi="Arial" w:cs="Arial"/>
                <w:b/>
              </w:rPr>
              <w:t>ignature</w:t>
            </w:r>
            <w:r w:rsidR="009B01B2">
              <w:rPr>
                <w:rFonts w:ascii="Arial" w:hAnsi="Arial" w:cs="Arial"/>
                <w:b/>
              </w:rPr>
              <w:t xml:space="preserve"> or specialist confirmation of patient agreement to shared care arrangement</w:t>
            </w:r>
            <w:r>
              <w:rPr>
                <w:rFonts w:ascii="Arial" w:hAnsi="Arial" w:cs="Arial"/>
                <w:b/>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3A4B65D6" w14:textId="77777777" w:rsidR="007319F6" w:rsidRDefault="007319F6" w:rsidP="00BD4A96">
            <w:pPr>
              <w:spacing w:after="0" w:line="240" w:lineRule="auto"/>
              <w:contextualSpacing/>
              <w:rPr>
                <w:rFonts w:ascii="Arial" w:hAnsi="Arial" w:cs="Arial"/>
                <w:b/>
              </w:rPr>
            </w:pPr>
          </w:p>
        </w:tc>
      </w:tr>
    </w:tbl>
    <w:p w14:paraId="1CE1931D" w14:textId="0CD72E48" w:rsidR="00F675C7" w:rsidRDefault="00F675C7" w:rsidP="007319F6">
      <w:pPr>
        <w:tabs>
          <w:tab w:val="left" w:pos="9105"/>
        </w:tabs>
        <w:spacing w:after="0" w:line="240" w:lineRule="auto"/>
        <w:jc w:val="both"/>
        <w:outlineLvl w:val="0"/>
        <w:rPr>
          <w:rFonts w:ascii="Arial" w:eastAsia="Times New Roman" w:hAnsi="Arial" w:cs="Arial"/>
          <w:b/>
          <w:lang w:val="en-US"/>
        </w:rPr>
      </w:pPr>
    </w:p>
    <w:p w14:paraId="5AC66DC8" w14:textId="55C2EEE8" w:rsidR="00455A6A" w:rsidRDefault="007319F6"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4451C81C">
                <wp:simplePos x="0" y="0"/>
                <wp:positionH relativeFrom="column">
                  <wp:posOffset>-209550</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6.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9B5E0B5" w:rsidR="006F31C8" w:rsidRPr="00B62EE0" w:rsidRDefault="006F31C8" w:rsidP="00B62EE0">
      <w:pPr>
        <w:spacing w:before="120" w:after="120" w:line="240" w:lineRule="auto"/>
        <w:contextualSpacing/>
        <w:rPr>
          <w:rFonts w:ascii="Arial" w:hAnsi="Arial" w:cs="Arial"/>
          <w:b/>
          <w:sz w:val="8"/>
          <w:szCs w:val="24"/>
        </w:rPr>
      </w:pPr>
    </w:p>
    <w:p w14:paraId="2E4DEC11" w14:textId="78043DC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29FD858E"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r w:rsidR="00C67353">
        <w:rPr>
          <w:rFonts w:ascii="Arial" w:hAnsi="Arial" w:cs="Arial"/>
        </w:rPr>
        <w:t xml:space="preserve">HWE </w:t>
      </w:r>
      <w:hyperlink r:id="rId9" w:history="1">
        <w:r w:rsidR="00682308" w:rsidRPr="00252C6B">
          <w:rPr>
            <w:rStyle w:val="Hyperlink"/>
            <w:rFonts w:ascii="Arial" w:hAnsi="Arial" w:cs="Arial"/>
          </w:rPr>
          <w:t>shared care principles</w:t>
        </w:r>
      </w:hyperlink>
      <w:r w:rsidR="006F31C8">
        <w:rPr>
          <w:rFonts w:ascii="Arial" w:hAnsi="Arial" w:cs="Arial"/>
        </w:rPr>
        <w:fldChar w:fldCharType="begin">
          <w:ffData>
            <w:name w:val="Check12"/>
            <w:enabled/>
            <w:calcOnExit w:val="0"/>
            <w:checkBox>
              <w:sizeAuto/>
              <w:default w:val="0"/>
            </w:checkBox>
          </w:ffData>
        </w:fldChar>
      </w:r>
      <w:bookmarkStart w:id="2" w:name="Check12"/>
      <w:r w:rsidR="006F31C8">
        <w:rPr>
          <w:rFonts w:ascii="Arial" w:hAnsi="Arial" w:cs="Arial"/>
        </w:rPr>
        <w:instrText xml:space="preserve"> FORMCHECKBOX </w:instrText>
      </w:r>
      <w:r w:rsidR="00DA12AC">
        <w:rPr>
          <w:rFonts w:ascii="Arial" w:hAnsi="Arial" w:cs="Arial"/>
        </w:rPr>
      </w:r>
      <w:r w:rsidR="00DA12AC">
        <w:rPr>
          <w:rFonts w:ascii="Arial" w:hAnsi="Arial" w:cs="Arial"/>
        </w:rPr>
        <w:fldChar w:fldCharType="separate"/>
      </w:r>
      <w:r w:rsidR="006F31C8">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DA12AC">
        <w:rPr>
          <w:rFonts w:ascii="Arial" w:hAnsi="Arial" w:cs="Arial"/>
        </w:rPr>
      </w:r>
      <w:r w:rsidR="00DA12AC">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77777777"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1C206AE"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31F4AAB2"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r w:rsidR="005D1D26">
              <w:rPr>
                <w:rFonts w:ascii="Arial" w:hAnsi="Arial" w:cs="Arial"/>
                <w:b/>
              </w:rPr>
              <w:t xml:space="preserve"> </w:t>
            </w:r>
          </w:p>
          <w:p w14:paraId="6ADE08AC" w14:textId="12453BEC" w:rsidR="005D1D26" w:rsidRDefault="005D1D26" w:rsidP="0015736E">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3C2A8969" w:rsidR="002F0C6D" w:rsidRDefault="002F0C6D" w:rsidP="0015736E">
            <w:pPr>
              <w:spacing w:after="0" w:line="240" w:lineRule="auto"/>
              <w:contextualSpacing/>
              <w:rPr>
                <w:rFonts w:ascii="Arial" w:hAnsi="Arial" w:cs="Arial"/>
                <w:b/>
              </w:rPr>
            </w:pPr>
            <w:r>
              <w:rPr>
                <w:rFonts w:ascii="Arial" w:hAnsi="Arial" w:cs="Arial"/>
                <w:b/>
              </w:rPr>
              <w:t>Direct telephone number:</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068A25AC" w:rsidR="002F0C6D" w:rsidRDefault="002F0C6D" w:rsidP="0015736E">
            <w:pPr>
              <w:spacing w:after="0" w:line="240" w:lineRule="auto"/>
              <w:contextualSpacing/>
              <w:rPr>
                <w:rFonts w:ascii="Arial" w:hAnsi="Arial" w:cs="Arial"/>
                <w:b/>
              </w:rPr>
            </w:pPr>
            <w:r>
              <w:rPr>
                <w:rFonts w:ascii="Arial" w:hAnsi="Arial" w:cs="Arial"/>
                <w:b/>
              </w:rPr>
              <w:t>Email:</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6AB6BF43" w:rsidR="002F0C6D" w:rsidRDefault="002F0C6D" w:rsidP="0015736E">
            <w:pPr>
              <w:spacing w:after="0" w:line="240" w:lineRule="auto"/>
              <w:contextualSpacing/>
              <w:rPr>
                <w:rFonts w:ascii="Arial" w:hAnsi="Arial" w:cs="Arial"/>
                <w:b/>
              </w:rPr>
            </w:pPr>
            <w:r>
              <w:rPr>
                <w:rFonts w:ascii="Arial" w:hAnsi="Arial" w:cs="Arial"/>
                <w:b/>
              </w:rPr>
              <w:t>Date:</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622AB35E"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DA3961B">
                <wp:simplePos x="0" y="0"/>
                <wp:positionH relativeFrom="column">
                  <wp:posOffset>-219075</wp:posOffset>
                </wp:positionH>
                <wp:positionV relativeFrom="paragraph">
                  <wp:posOffset>73660</wp:posOffset>
                </wp:positionV>
                <wp:extent cx="6934810" cy="5334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10" cy="533400"/>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7.25pt;margin-top:5.8pt;width:546.05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">
                <v:textbox inset=",1mm,,1mm">
                  <w:txbxContent>
                    <w:p w14:paraId="5829DE51" w14:textId="77777777" w:rsidR="00D95A4B" w:rsidRDefault="00D95A4B"/>
                  </w:txbxContent>
                </v:textbox>
              </v:shape>
            </w:pict>
          </mc:Fallback>
        </mc:AlternateContent>
      </w:r>
    </w:p>
    <w:p w14:paraId="562873D5" w14:textId="77777777" w:rsidR="00EA3D76" w:rsidRPr="005D1D26" w:rsidRDefault="00924742" w:rsidP="005D1D26">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5D1D26">
        <w:rPr>
          <w:rFonts w:ascii="Arial" w:eastAsia="Times New Roman" w:hAnsi="Arial" w:cs="Arial"/>
          <w:bCs/>
          <w:sz w:val="20"/>
          <w:szCs w:val="20"/>
          <w:lang w:val="en-US"/>
        </w:rPr>
        <w:t>Specialist to retain copy</w:t>
      </w:r>
      <w:r w:rsidR="00EA3D76" w:rsidRPr="005D1D26">
        <w:rPr>
          <w:rFonts w:ascii="Arial" w:eastAsia="Times New Roman" w:hAnsi="Arial" w:cs="Arial"/>
          <w:bCs/>
          <w:sz w:val="20"/>
          <w:szCs w:val="20"/>
          <w:lang w:val="en-US"/>
        </w:rPr>
        <w:t xml:space="preserve"> in patient’s hospital records.</w:t>
      </w:r>
    </w:p>
    <w:p w14:paraId="6099DE82" w14:textId="4C5AB085" w:rsidR="00F31F41" w:rsidRPr="005D1D26" w:rsidRDefault="00924742" w:rsidP="005D1D26">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5D1D26">
        <w:rPr>
          <w:rFonts w:ascii="Arial" w:eastAsia="Times New Roman" w:hAnsi="Arial" w:cs="Arial"/>
          <w:bCs/>
          <w:sz w:val="20"/>
          <w:szCs w:val="20"/>
          <w:lang w:val="en-US"/>
        </w:rPr>
        <w:t xml:space="preserve">Copy to be </w:t>
      </w:r>
      <w:r w:rsidR="00EA3D76" w:rsidRPr="005D1D26">
        <w:rPr>
          <w:rFonts w:ascii="Arial" w:eastAsia="Times New Roman" w:hAnsi="Arial" w:cs="Arial"/>
          <w:bCs/>
          <w:sz w:val="20"/>
          <w:szCs w:val="20"/>
          <w:lang w:val="en-US"/>
        </w:rPr>
        <w:t>given to patient.</w:t>
      </w:r>
    </w:p>
    <w:p w14:paraId="0834E5F8" w14:textId="092D0ED8" w:rsidR="00307B2B" w:rsidRPr="005D1D26" w:rsidRDefault="00051449" w:rsidP="005D1D26">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5D1D26">
        <w:rPr>
          <w:rFonts w:ascii="Arial" w:eastAsia="Times New Roman" w:hAnsi="Arial" w:cs="Arial"/>
          <w:bCs/>
          <w:sz w:val="20"/>
          <w:szCs w:val="20"/>
          <w:lang w:val="en-US"/>
        </w:rPr>
        <w:t xml:space="preserve">GP to retain </w:t>
      </w:r>
      <w:r w:rsidR="00EA3D76" w:rsidRPr="005D1D26">
        <w:rPr>
          <w:rFonts w:ascii="Arial" w:eastAsia="Times New Roman" w:hAnsi="Arial" w:cs="Arial"/>
          <w:bCs/>
          <w:sz w:val="20"/>
          <w:szCs w:val="20"/>
          <w:lang w:val="en-US"/>
        </w:rPr>
        <w:t>copy</w:t>
      </w:r>
      <w:r w:rsidRPr="005D1D26">
        <w:rPr>
          <w:rFonts w:ascii="Arial" w:eastAsia="Times New Roman" w:hAnsi="Arial" w:cs="Arial"/>
          <w:bCs/>
          <w:sz w:val="20"/>
          <w:szCs w:val="20"/>
          <w:lang w:val="en-US"/>
        </w:rPr>
        <w:t xml:space="preserve"> in </w:t>
      </w:r>
      <w:r w:rsidR="00EA3D76" w:rsidRPr="005D1D26">
        <w:rPr>
          <w:rFonts w:ascii="Arial" w:eastAsia="Times New Roman" w:hAnsi="Arial" w:cs="Arial"/>
          <w:bCs/>
          <w:sz w:val="20"/>
          <w:szCs w:val="20"/>
          <w:lang w:val="en-US"/>
        </w:rPr>
        <w:t>patient’s notes.</w:t>
      </w:r>
    </w:p>
    <w:p w14:paraId="2A903D36" w14:textId="77777777" w:rsidR="00C5402C" w:rsidRDefault="00C5402C" w:rsidP="002A009B">
      <w:pPr>
        <w:spacing w:after="0" w:line="240" w:lineRule="auto"/>
        <w:jc w:val="center"/>
        <w:rPr>
          <w:rFonts w:ascii="Arial" w:eastAsia="Times New Roman" w:hAnsi="Arial" w:cs="Times New Roman"/>
          <w:b/>
          <w:bCs/>
          <w:sz w:val="28"/>
          <w:szCs w:val="28"/>
          <w:u w:val="single"/>
        </w:rPr>
      </w:pPr>
    </w:p>
    <w:p w14:paraId="48B534A9" w14:textId="1ECFF254"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4404A109" w14:textId="77777777" w:rsidR="00B11148" w:rsidRPr="00B11148" w:rsidRDefault="00B11148"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11148">
        <w:rPr>
          <w:rFonts w:ascii="Arial" w:eastAsia="Times New Roman" w:hAnsi="Arial" w:cs="Times New Roman"/>
          <w:b/>
          <w:szCs w:val="24"/>
          <w:lang w:val="en-US"/>
        </w:rPr>
        <w:t>RILUZOLE FOR THE TREATMENT OF THE AMYOTROPHIC LATERAL</w:t>
      </w:r>
    </w:p>
    <w:p w14:paraId="2ED55996" w14:textId="2A6FF09C" w:rsidR="00B11148" w:rsidRDefault="00B11148"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11148">
        <w:rPr>
          <w:rFonts w:ascii="Arial" w:eastAsia="Times New Roman" w:hAnsi="Arial" w:cs="Times New Roman"/>
          <w:b/>
          <w:szCs w:val="24"/>
          <w:lang w:val="en-US"/>
        </w:rPr>
        <w:t>SCLEROSIS (ALS) FORM OF MOTOR NEURONE DISEASE (MND)</w:t>
      </w:r>
    </w:p>
    <w:p w14:paraId="236E4E7D" w14:textId="0D095062" w:rsidR="00252C6B" w:rsidRPr="006F4129" w:rsidRDefault="00252C6B"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52C6B">
        <w:rPr>
          <w:rFonts w:ascii="Arial" w:eastAsia="Times New Roman" w:hAnsi="Arial" w:cs="Times New Roman"/>
          <w:b/>
          <w:szCs w:val="24"/>
          <w:lang w:val="en-US"/>
        </w:rPr>
        <w:t>Shared Care Protocol: Guideline No 7; Version 1</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3ED46833"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0" w:history="1">
        <w:r w:rsidR="004E5259" w:rsidRPr="00252C6B">
          <w:rPr>
            <w:rStyle w:val="Hyperlink"/>
            <w:rFonts w:ascii="Arial" w:eastAsia="Times New Roman" w:hAnsi="Arial" w:cs="Times New Roman"/>
            <w:b/>
            <w:lang w:val="en-US" w:eastAsia="en-GB"/>
          </w:rPr>
          <w:t>HWE</w:t>
        </w:r>
        <w:r w:rsidRPr="00252C6B">
          <w:rPr>
            <w:rStyle w:val="Hyperlink"/>
            <w:rFonts w:ascii="Arial" w:eastAsia="Times New Roman" w:hAnsi="Arial" w:cs="Times New Roman"/>
            <w:b/>
            <w:lang w:val="en-US" w:eastAsia="en-GB"/>
          </w:rPr>
          <w:t xml:space="preserve"> shared care principles</w:t>
        </w:r>
      </w:hyperlink>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A2D6E8C" w14:textId="6F5B16E1" w:rsidR="00B11148" w:rsidRDefault="00B11148"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11148">
        <w:rPr>
          <w:rFonts w:ascii="Arial" w:hAnsi="Arial" w:cs="Arial"/>
          <w:bCs/>
        </w:rPr>
        <w:t>Riluzole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1489B379" w14:textId="77777777" w:rsidR="004A4384" w:rsidRPr="00B11148"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4A719777" w14:textId="36DBEE96" w:rsidR="00B11148" w:rsidRDefault="00B11148"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11148">
        <w:rPr>
          <w:rFonts w:ascii="Arial" w:hAnsi="Arial" w:cs="Arial"/>
          <w:bCs/>
        </w:rPr>
        <w:t>Riluzole is recommended by NICE technology appraisal guidance (TA20: Guidance on the use of Riluzole (Rilutek) for the treatment of Motor Neurone Disease) as an option for treatment of people with ALS. It should be initiated by a neurological specialist with expertise in the management of MND.</w:t>
      </w:r>
    </w:p>
    <w:p w14:paraId="2E5CAF5C" w14:textId="068867CC" w:rsidR="004A4384" w:rsidRPr="00AE31E5"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044FE4D1" w14:textId="2AC092B2" w:rsidR="004A4384" w:rsidRPr="00AE31E5" w:rsidRDefault="004A4384"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AE31E5">
        <w:rPr>
          <w:rFonts w:ascii="Arial" w:hAnsi="Arial" w:cs="Arial"/>
          <w:bCs/>
        </w:rPr>
        <w:t>The safety and efficacy of riluzole has only been studied in ALS, therefore riluzole should not be use in any other form of MND.</w:t>
      </w:r>
    </w:p>
    <w:p w14:paraId="38C88138" w14:textId="77777777" w:rsidR="00AE31E5" w:rsidRPr="00AE31E5" w:rsidRDefault="00AE31E5"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E9B2CE5" w14:textId="0809CD0B" w:rsidR="00B11148" w:rsidRPr="00AE31E5" w:rsidRDefault="004A4384"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AE31E5">
        <w:rPr>
          <w:rFonts w:ascii="Arial" w:hAnsi="Arial" w:cs="Arial"/>
          <w:bCs/>
        </w:rPr>
        <w:t xml:space="preserve">Riluzole is not recommended for use in </w:t>
      </w:r>
      <w:proofErr w:type="gramStart"/>
      <w:r w:rsidRPr="00AE31E5">
        <w:rPr>
          <w:rFonts w:ascii="Arial" w:hAnsi="Arial" w:cs="Arial"/>
          <w:bCs/>
        </w:rPr>
        <w:t>children</w:t>
      </w:r>
      <w:proofErr w:type="gramEnd"/>
    </w:p>
    <w:p w14:paraId="11E1EF83" w14:textId="77777777" w:rsidR="004A4384" w:rsidRPr="00004CD4"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FC44517" w14:textId="77777777" w:rsidR="00CC0AC9" w:rsidRPr="00843717" w:rsidRDefault="00CC0AC9"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77559EF8" w14:textId="3F1F2C42" w:rsidR="00AE31E5" w:rsidRDefault="00307B2B"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T</w:t>
      </w:r>
      <w:r w:rsidR="00AE31E5" w:rsidRPr="00AE31E5">
        <w:rPr>
          <w:rFonts w:ascii="Arial" w:hAnsi="Arial" w:cs="Arial"/>
        </w:rPr>
        <w:t>o extend life or the time to mechanical ventilation for patients with amyotrophic lateral sclerosis (ALS).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7777777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5B9D0A2F" w14:textId="29F1C79B" w:rsidR="002A009B" w:rsidRPr="00843717"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D492A24" w14:textId="0702B157" w:rsidR="00C37C6F"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50mg twice daily </w:t>
      </w:r>
    </w:p>
    <w:p w14:paraId="0D5A1792" w14:textId="54470205" w:rsidR="00AE31E5"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5069D21" w14:textId="77777777" w:rsidR="00AE31E5" w:rsidRPr="00AE31E5" w:rsidRDefault="00AE31E5"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E31E5">
        <w:rPr>
          <w:rFonts w:ascii="Arial" w:hAnsi="Arial" w:cs="Arial"/>
        </w:rPr>
        <w:t xml:space="preserve">Riluzole tablets can be crushed and dispersed in water for enteral tube administration or mixed with soft food </w:t>
      </w:r>
      <w:proofErr w:type="gramStart"/>
      <w:r w:rsidRPr="00AE31E5">
        <w:rPr>
          <w:rFonts w:ascii="Arial" w:hAnsi="Arial" w:cs="Arial"/>
        </w:rPr>
        <w:t>e.g.</w:t>
      </w:r>
      <w:proofErr w:type="gramEnd"/>
      <w:r w:rsidRPr="00AE31E5">
        <w:rPr>
          <w:rFonts w:ascii="Arial" w:hAnsi="Arial" w:cs="Arial"/>
        </w:rPr>
        <w:t xml:space="preserve"> yoghurt or puree. Give immediately or within 15 minutes. Riluzole may block enteral feeding tubes, so ensure that the tube is flushed well after each dose. Crushed tablets may have a local anaesthetic effect in the mouth. Crushing or splitting riluzole tablets is unlicensed.</w:t>
      </w:r>
    </w:p>
    <w:p w14:paraId="532DC9FE" w14:textId="77777777" w:rsidR="00307B2B" w:rsidRDefault="00307B2B"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3256CAE" w14:textId="3559DADB" w:rsidR="00AE31E5" w:rsidRDefault="00AE31E5"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E31E5">
        <w:rPr>
          <w:rFonts w:ascii="Arial" w:hAnsi="Arial" w:cs="Arial"/>
        </w:rPr>
        <w:t>The oral suspension is suitable for administration via enteral feeding tubes. The suspension must be manually gently shaken for at least 30 seconds by rotating the bottle by 180° and the homogeneity should be visually verified.</w:t>
      </w:r>
    </w:p>
    <w:p w14:paraId="190B9C4E" w14:textId="77777777" w:rsidR="00AE31E5" w:rsidRPr="000C7F57"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E560A99" w14:textId="6BE79A92" w:rsidR="005E21BE" w:rsidRDefault="002A009B"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sidR="00AE31E5">
        <w:rPr>
          <w:rFonts w:ascii="Arial" w:hAnsi="Arial" w:cs="Arial"/>
        </w:rPr>
        <w:t xml:space="preserve">Riluzole 50mg tablets, 5mg in 1ml oral suspension </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359DE6B0" w14:textId="3FC78D7B" w:rsidR="008C0C66" w:rsidRPr="008B71E0"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sidR="005C6D32">
              <w:rPr>
                <w:rFonts w:ascii="Arial" w:eastAsia="Times New Roman" w:hAnsi="Arial" w:cs="Arial"/>
                <w:bCs/>
                <w:lang w:eastAsia="en-GB"/>
              </w:rPr>
              <w:t xml:space="preserve">r treatment with </w:t>
            </w:r>
            <w:r w:rsidR="008B71E0">
              <w:rPr>
                <w:rFonts w:ascii="Arial" w:eastAsia="Times New Roman" w:hAnsi="Arial" w:cs="Arial"/>
                <w:bCs/>
                <w:lang w:eastAsia="en-GB"/>
              </w:rPr>
              <w:t>riluzole</w:t>
            </w:r>
            <w:r w:rsidRPr="0018705A">
              <w:rPr>
                <w:rFonts w:ascii="Arial" w:eastAsia="Times New Roman" w:hAnsi="Arial" w:cs="Arial"/>
                <w:bCs/>
                <w:lang w:eastAsia="en-GB"/>
              </w:rPr>
              <w:t xml:space="preserve"> and initiate treatment. </w:t>
            </w:r>
            <w:r w:rsidR="002926D9">
              <w:rPr>
                <w:rFonts w:ascii="Arial" w:eastAsia="Times New Roman" w:hAnsi="Arial" w:cs="Arial"/>
                <w:bCs/>
                <w:lang w:eastAsia="en-GB"/>
              </w:rPr>
              <w:t xml:space="preserve">Counsel </w:t>
            </w:r>
          </w:p>
          <w:p w14:paraId="62925405" w14:textId="2B305BAB" w:rsidR="008D03D1" w:rsidRPr="008D03D1" w:rsidRDefault="008C0C66">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w:t>
            </w:r>
            <w:r w:rsidR="0030269A" w:rsidRPr="008D03D1">
              <w:rPr>
                <w:rFonts w:ascii="Arial" w:eastAsia="Times New Roman" w:hAnsi="Arial" w:cs="Arial"/>
                <w:bCs/>
                <w:lang w:eastAsia="en-GB"/>
              </w:rPr>
              <w:t>/</w:t>
            </w:r>
            <w:r w:rsidRPr="008D03D1">
              <w:rPr>
                <w:rFonts w:ascii="Arial" w:eastAsia="Times New Roman" w:hAnsi="Arial" w:cs="Arial"/>
                <w:bCs/>
                <w:lang w:eastAsia="en-GB"/>
              </w:rPr>
              <w:t>carer with relevant (preferably written) infor</w:t>
            </w:r>
            <w:r w:rsidR="008D03D1">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sidR="008D03D1">
              <w:rPr>
                <w:rFonts w:ascii="Arial" w:eastAsia="Times New Roman" w:hAnsi="Arial" w:cs="Arial"/>
                <w:bCs/>
                <w:lang w:eastAsia="en-GB"/>
              </w:rPr>
              <w:t xml:space="preserve">n and precautions </w:t>
            </w:r>
            <w:r w:rsidR="008D03D1" w:rsidRPr="008D03D1">
              <w:rPr>
                <w:rFonts w:ascii="Arial" w:eastAsia="Times New Roman" w:hAnsi="Arial" w:cs="Arial"/>
                <w:bCs/>
                <w:lang w:eastAsia="en-GB"/>
              </w:rPr>
              <w:t>including that no new medicines are started (including over the counter preparations)</w:t>
            </w:r>
            <w:r w:rsidR="002926D9">
              <w:rPr>
                <w:rFonts w:ascii="Arial" w:eastAsia="Times New Roman" w:hAnsi="Arial" w:cs="Arial"/>
                <w:bCs/>
                <w:lang w:eastAsia="en-GB"/>
              </w:rPr>
              <w:t>. Provide advice to patients.</w:t>
            </w:r>
          </w:p>
          <w:p w14:paraId="0FBF1972" w14:textId="24C4D6C6" w:rsidR="008C0C66" w:rsidRPr="0018705A" w:rsidRDefault="008C0C66">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r w:rsidR="00E06022">
              <w:rPr>
                <w:rFonts w:ascii="Arial" w:eastAsia="Times New Roman" w:hAnsi="Arial" w:cs="Arial"/>
                <w:bCs/>
                <w:lang w:eastAsia="en-GB"/>
              </w:rPr>
              <w:t>.</w:t>
            </w:r>
          </w:p>
          <w:p w14:paraId="313FD1FA" w14:textId="77777777" w:rsidR="008C0C66" w:rsidRPr="0018705A"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8673A0F" w14:textId="2E70249A" w:rsidR="008C0C66" w:rsidRPr="0018705A" w:rsidRDefault="008C0C66">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lastRenderedPageBreak/>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sidR="00E06022">
              <w:rPr>
                <w:rFonts w:ascii="Arial" w:eastAsia="Times New Roman" w:hAnsi="Arial" w:cs="Arial"/>
                <w:bCs/>
                <w:lang w:eastAsia="en-GB"/>
              </w:rPr>
              <w:t>.</w:t>
            </w:r>
          </w:p>
          <w:p w14:paraId="2B2B5447" w14:textId="1F38E40A" w:rsidR="008C0C66" w:rsidRPr="0018705A"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sidR="00E06022">
              <w:rPr>
                <w:rFonts w:ascii="Arial" w:eastAsia="Times New Roman" w:hAnsi="Arial" w:cs="Arial"/>
                <w:bCs/>
                <w:lang w:eastAsia="en-GB"/>
              </w:rPr>
              <w:t>.</w:t>
            </w:r>
            <w:r w:rsidRPr="0018705A">
              <w:rPr>
                <w:rFonts w:ascii="Arial" w:eastAsia="Times New Roman" w:hAnsi="Arial" w:cs="Arial"/>
                <w:bCs/>
                <w:lang w:eastAsia="en-GB"/>
              </w:rPr>
              <w:t xml:space="preserve"> </w:t>
            </w:r>
          </w:p>
          <w:p w14:paraId="384CE0F7" w14:textId="77777777" w:rsidR="008C0C66" w:rsidRPr="00275F77" w:rsidRDefault="008C0C66">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85F2DE8" w14:textId="77777777" w:rsidR="008C0C66" w:rsidRPr="0018705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67116BD" w14:textId="77777777" w:rsidR="008C0C66" w:rsidRPr="0018705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2B42285F" w14:textId="77777777" w:rsidR="0030269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sidR="0030269A">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9359C99" w14:textId="77777777" w:rsidR="0057501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7CF94A46" w14:textId="5E439297" w:rsidR="006A2066" w:rsidRPr="00A25330" w:rsidRDefault="006A2066">
            <w:pPr>
              <w:numPr>
                <w:ilvl w:val="0"/>
                <w:numId w:val="6"/>
              </w:numPr>
              <w:shd w:val="clear" w:color="auto" w:fill="FFFFFF"/>
              <w:spacing w:after="0" w:line="240" w:lineRule="auto"/>
              <w:ind w:left="357" w:hanging="357"/>
              <w:rPr>
                <w:rFonts w:ascii="Arial" w:eastAsia="Times New Roman" w:hAnsi="Arial" w:cs="Arial"/>
                <w:color w:val="000000"/>
                <w:lang w:eastAsia="en-GB"/>
              </w:rPr>
            </w:pPr>
            <w:r>
              <w:rPr>
                <w:rFonts w:ascii="Arial" w:eastAsia="Times New Roman" w:hAnsi="Arial" w:cs="Arial"/>
                <w:color w:val="000000"/>
                <w:lang w:eastAsia="en-GB"/>
              </w:rPr>
              <w:t>E</w:t>
            </w:r>
            <w:r w:rsidRPr="006A2066">
              <w:rPr>
                <w:rFonts w:ascii="Arial" w:eastAsia="Times New Roman" w:hAnsi="Arial" w:cs="Arial"/>
                <w:color w:val="000000"/>
                <w:lang w:eastAsia="en-GB"/>
              </w:rPr>
              <w:t>nsure no drug interactions with other medicines</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A220B05"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252C6B">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w:t>
      </w:r>
      <w:r w:rsidR="00252C6B">
        <w:rPr>
          <w:rFonts w:ascii="Arial" w:eastAsia="Times New Roman" w:hAnsi="Arial" w:cs="Arial"/>
          <w:bCs/>
          <w:szCs w:val="24"/>
        </w:rPr>
        <w:t>9</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633C159" w14:textId="25AA3225" w:rsidR="00061E36" w:rsidRDefault="00061E36">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25833356" w14:textId="7B00342E" w:rsidR="00CA1BB1" w:rsidRPr="000C7F57" w:rsidRDefault="00CA1BB1">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6A8FECDF" w14:textId="74FD2F00"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10263BF" w14:textId="77777777" w:rsidR="00CA1BB1" w:rsidRPr="00CA1BB1" w:rsidRDefault="00CA1BB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31876374" w14:textId="6F06EB35"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w:t>
            </w:r>
            <w:proofErr w:type="gramStart"/>
            <w:r w:rsidRPr="00061E36">
              <w:rPr>
                <w:rFonts w:ascii="Arial" w:eastAsia="Times New Roman" w:hAnsi="Arial" w:cs="Arial"/>
                <w:bCs/>
                <w:lang w:eastAsia="en-GB"/>
              </w:rPr>
              <w:t>outpatient</w:t>
            </w:r>
            <w:proofErr w:type="gramEnd"/>
            <w:r w:rsidRPr="00061E36">
              <w:rPr>
                <w:rFonts w:ascii="Arial" w:eastAsia="Times New Roman" w:hAnsi="Arial" w:cs="Arial"/>
                <w:bCs/>
                <w:lang w:eastAsia="en-GB"/>
              </w:rPr>
              <w:t xml:space="preserve"> and A&amp;E consultations. </w:t>
            </w:r>
          </w:p>
          <w:p w14:paraId="73B95506" w14:textId="77777777" w:rsidR="00CA1BB1" w:rsidRPr="00CA1BB1" w:rsidRDefault="00CA1BB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29D7F0FA" w14:textId="744CA953"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that no new medicines are started (including over the counter preparations) unless this has been discussed with the GP, </w:t>
            </w:r>
            <w:proofErr w:type="gramStart"/>
            <w:r w:rsidRPr="00061E36">
              <w:rPr>
                <w:rFonts w:ascii="Arial" w:eastAsia="Times New Roman" w:hAnsi="Arial" w:cs="Arial"/>
                <w:bCs/>
                <w:lang w:eastAsia="en-GB"/>
              </w:rPr>
              <w:t>specialist</w:t>
            </w:r>
            <w:proofErr w:type="gramEnd"/>
            <w:r w:rsidRPr="00061E36">
              <w:rPr>
                <w:rFonts w:ascii="Arial" w:eastAsia="Times New Roman" w:hAnsi="Arial" w:cs="Arial"/>
                <w:bCs/>
                <w:lang w:eastAsia="en-GB"/>
              </w:rPr>
              <w:t xml:space="preserve"> or pharmacist.</w:t>
            </w:r>
          </w:p>
          <w:p w14:paraId="71817CFC" w14:textId="77777777" w:rsidR="00CA1BB1" w:rsidRDefault="00CA1BB1">
            <w:pPr>
              <w:numPr>
                <w:ilvl w:val="0"/>
                <w:numId w:val="8"/>
              </w:numPr>
              <w:spacing w:after="0" w:line="240" w:lineRule="auto"/>
              <w:ind w:left="357" w:hanging="357"/>
              <w:rPr>
                <w:rFonts w:ascii="Arial" w:eastAsia="Times New Roman" w:hAnsi="Arial" w:cs="Arial"/>
                <w:bCs/>
                <w:lang w:eastAsia="en-GB"/>
              </w:rPr>
            </w:pPr>
            <w:r w:rsidRPr="00710AA9">
              <w:rPr>
                <w:rFonts w:ascii="Arial" w:eastAsia="Times New Roman" w:hAnsi="Arial" w:cs="Arial"/>
                <w:bCs/>
                <w:lang w:eastAsia="en-GB"/>
              </w:rPr>
              <w:t xml:space="preserve">Alert GP and/or specialist of any changes of circumstance which could affect management of disease </w:t>
            </w:r>
            <w:proofErr w:type="gramStart"/>
            <w:r w:rsidRPr="00710AA9">
              <w:rPr>
                <w:rFonts w:ascii="Arial" w:eastAsia="Times New Roman" w:hAnsi="Arial" w:cs="Arial"/>
                <w:bCs/>
                <w:lang w:eastAsia="en-GB"/>
              </w:rPr>
              <w:t>e.g.</w:t>
            </w:r>
            <w:proofErr w:type="gramEnd"/>
            <w:r w:rsidRPr="00710AA9">
              <w:rPr>
                <w:rFonts w:ascii="Arial" w:eastAsia="Times New Roman" w:hAnsi="Arial" w:cs="Arial"/>
                <w:bCs/>
                <w:lang w:eastAsia="en-GB"/>
              </w:rPr>
              <w:t xml:space="preserve"> plans for pregnancy; plans to move/change GP practice</w:t>
            </w:r>
            <w:r w:rsidR="00E06022">
              <w:rPr>
                <w:rFonts w:ascii="Arial" w:eastAsia="Times New Roman" w:hAnsi="Arial" w:cs="Arial"/>
                <w:bCs/>
                <w:lang w:eastAsia="en-GB"/>
              </w:rPr>
              <w:t>.</w:t>
            </w:r>
            <w:r w:rsidRPr="00710AA9">
              <w:rPr>
                <w:rFonts w:ascii="Arial" w:eastAsia="Times New Roman" w:hAnsi="Arial" w:cs="Arial"/>
                <w:bCs/>
                <w:lang w:eastAsia="en-GB"/>
              </w:rPr>
              <w:t xml:space="preserve"> </w:t>
            </w:r>
          </w:p>
          <w:p w14:paraId="19B6562E" w14:textId="53B841B9" w:rsidR="008B71E0" w:rsidRPr="008B71E0" w:rsidRDefault="008B71E0">
            <w:pPr>
              <w:pStyle w:val="ListParagraph"/>
              <w:numPr>
                <w:ilvl w:val="0"/>
                <w:numId w:val="8"/>
              </w:numPr>
              <w:rPr>
                <w:rFonts w:ascii="Arial" w:eastAsia="Times New Roman" w:hAnsi="Arial" w:cs="Arial"/>
                <w:bCs/>
                <w:lang w:eastAsia="en-GB"/>
              </w:rPr>
            </w:pPr>
            <w:r w:rsidRPr="008B71E0">
              <w:rPr>
                <w:rFonts w:ascii="Arial" w:eastAsia="Times New Roman" w:hAnsi="Arial" w:cs="Arial"/>
                <w:bCs/>
                <w:lang w:eastAsia="en-GB"/>
              </w:rPr>
              <w:t>Not to drive or operate heavy machinery if riluzole affects their ability to do so safely.</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being monitored regularly, </w:t>
            </w:r>
            <w:proofErr w:type="gramStart"/>
            <w:r w:rsidRPr="00CA1BB1">
              <w:rPr>
                <w:rFonts w:ascii="Arial" w:eastAsia="Times New Roman" w:hAnsi="Arial" w:cs="Arial"/>
                <w:bCs/>
                <w:lang w:eastAsia="en-GB"/>
              </w:rPr>
              <w:t>e.g.</w:t>
            </w:r>
            <w:proofErr w:type="gramEnd"/>
            <w:r w:rsidRPr="00CA1BB1">
              <w:rPr>
                <w:rFonts w:ascii="Arial" w:eastAsia="Times New Roman" w:hAnsi="Arial" w:cs="Arial"/>
                <w:bCs/>
                <w:lang w:eastAsia="en-GB"/>
              </w:rPr>
              <w:t xml:space="preserve">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1EDBC74"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252C6B">
              <w:rPr>
                <w:rFonts w:ascii="Arial" w:eastAsia="Times New Roman" w:hAnsi="Arial" w:cs="Arial"/>
                <w:bCs/>
                <w:lang w:eastAsia="en-GB"/>
              </w:rPr>
              <w:t>&amp;</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B061F6" w14:paraId="5D51BB5A" w14:textId="77777777" w:rsidTr="008C60E5">
              <w:trPr>
                <w:trHeight w:val="497"/>
              </w:trPr>
              <w:tc>
                <w:tcPr>
                  <w:tcW w:w="4644" w:type="dxa"/>
                </w:tcPr>
                <w:p w14:paraId="5328A201"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Respiratory function</w:t>
                  </w:r>
                </w:p>
                <w:p w14:paraId="58DBDDF3"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Dry cough or dyspnoea</w:t>
                  </w:r>
                </w:p>
                <w:p w14:paraId="12672B3C" w14:textId="336F97C2" w:rsidR="00B061F6" w:rsidRPr="00B061F6" w:rsidRDefault="00B061F6" w:rsidP="00B061F6">
                  <w:pPr>
                    <w:pStyle w:val="Default"/>
                    <w:rPr>
                      <w:bCs/>
                      <w:sz w:val="22"/>
                      <w:szCs w:val="22"/>
                    </w:rPr>
                  </w:pPr>
                </w:p>
              </w:tc>
              <w:tc>
                <w:tcPr>
                  <w:tcW w:w="5670" w:type="dxa"/>
                  <w:shd w:val="pct10" w:color="auto" w:fill="auto"/>
                </w:tcPr>
                <w:p w14:paraId="1AF25273" w14:textId="05DE881A" w:rsidR="00B061F6" w:rsidRPr="00B061F6" w:rsidRDefault="00B061F6" w:rsidP="00B061F6">
                  <w:pPr>
                    <w:pStyle w:val="Default"/>
                    <w:rPr>
                      <w:b/>
                      <w:color w:val="auto"/>
                      <w:sz w:val="22"/>
                      <w:szCs w:val="22"/>
                      <w:u w:val="single"/>
                    </w:rPr>
                  </w:pPr>
                  <w:r w:rsidRPr="00B061F6">
                    <w:rPr>
                      <w:rFonts w:eastAsia="Times New Roman"/>
                      <w:sz w:val="22"/>
                      <w:szCs w:val="22"/>
                    </w:rPr>
                    <w:t>Order chest x-ray. Stop riluzole immediately if findings are suggestive of interstitial lung disease. Inform specialist of findings.</w:t>
                  </w:r>
                </w:p>
              </w:tc>
            </w:tr>
            <w:tr w:rsidR="00B061F6" w14:paraId="1A6C678D" w14:textId="77777777" w:rsidTr="008C60E5">
              <w:trPr>
                <w:trHeight w:val="495"/>
              </w:trPr>
              <w:tc>
                <w:tcPr>
                  <w:tcW w:w="4644" w:type="dxa"/>
                </w:tcPr>
                <w:p w14:paraId="4517F23C"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lastRenderedPageBreak/>
                    <w:t>Haematological parameters</w:t>
                  </w:r>
                </w:p>
                <w:p w14:paraId="238D40AB" w14:textId="42B4C8C1" w:rsidR="00B061F6" w:rsidRPr="00B061F6" w:rsidRDefault="00B061F6" w:rsidP="00B061F6">
                  <w:pPr>
                    <w:pStyle w:val="Default"/>
                    <w:rPr>
                      <w:bCs/>
                      <w:sz w:val="22"/>
                      <w:szCs w:val="22"/>
                    </w:rPr>
                  </w:pPr>
                  <w:r w:rsidRPr="00B061F6">
                    <w:rPr>
                      <w:rFonts w:eastAsia="Times New Roman"/>
                      <w:bCs/>
                      <w:sz w:val="22"/>
                      <w:szCs w:val="22"/>
                    </w:rPr>
                    <w:t>Febrile illness</w:t>
                  </w:r>
                </w:p>
              </w:tc>
              <w:tc>
                <w:tcPr>
                  <w:tcW w:w="5670" w:type="dxa"/>
                  <w:shd w:val="pct10" w:color="auto" w:fill="auto"/>
                </w:tcPr>
                <w:p w14:paraId="7CF692D8" w14:textId="2C866F9A" w:rsidR="00B061F6" w:rsidRPr="00B061F6" w:rsidRDefault="00B061F6" w:rsidP="00B061F6">
                  <w:pPr>
                    <w:pStyle w:val="Default"/>
                    <w:rPr>
                      <w:b/>
                      <w:color w:val="auto"/>
                      <w:sz w:val="22"/>
                      <w:szCs w:val="22"/>
                      <w:u w:val="single"/>
                    </w:rPr>
                  </w:pPr>
                  <w:r w:rsidRPr="00B061F6">
                    <w:rPr>
                      <w:rFonts w:eastAsia="Times New Roman"/>
                      <w:sz w:val="22"/>
                      <w:szCs w:val="22"/>
                    </w:rPr>
                    <w:t>Check WCC. Treat febrile illness according to local pathways. Arrange for immediate hospital assessment if neutropenic sepsis is suspected.</w:t>
                  </w:r>
                </w:p>
              </w:tc>
            </w:tr>
            <w:tr w:rsidR="00B061F6" w:rsidRPr="004A3F03" w14:paraId="2902E5CF" w14:textId="77777777" w:rsidTr="008C60E5">
              <w:trPr>
                <w:trHeight w:val="769"/>
              </w:trPr>
              <w:tc>
                <w:tcPr>
                  <w:tcW w:w="4644" w:type="dxa"/>
                </w:tcPr>
                <w:p w14:paraId="1099BECE" w14:textId="3C743878" w:rsidR="00B061F6" w:rsidRPr="00B061F6" w:rsidRDefault="00B061F6" w:rsidP="00B061F6">
                  <w:pPr>
                    <w:pStyle w:val="Default"/>
                    <w:rPr>
                      <w:bCs/>
                      <w:sz w:val="22"/>
                      <w:szCs w:val="22"/>
                    </w:rPr>
                  </w:pPr>
                  <w:r w:rsidRPr="00B061F6">
                    <w:rPr>
                      <w:rFonts w:eastAsia="Times New Roman"/>
                      <w:bCs/>
                      <w:sz w:val="22"/>
                      <w:szCs w:val="22"/>
                    </w:rPr>
                    <w:t>Confirmed neutropenia</w:t>
                  </w:r>
                </w:p>
              </w:tc>
              <w:tc>
                <w:tcPr>
                  <w:tcW w:w="5670" w:type="dxa"/>
                  <w:shd w:val="pct10" w:color="auto" w:fill="auto"/>
                </w:tcPr>
                <w:p w14:paraId="3D2AAB85" w14:textId="51A71F0C" w:rsidR="00B061F6" w:rsidRPr="00B061F6" w:rsidRDefault="00B061F6" w:rsidP="00B061F6">
                  <w:pPr>
                    <w:pStyle w:val="Default"/>
                    <w:rPr>
                      <w:sz w:val="22"/>
                      <w:szCs w:val="22"/>
                    </w:rPr>
                  </w:pPr>
                  <w:r w:rsidRPr="00B061F6">
                    <w:rPr>
                      <w:sz w:val="22"/>
                      <w:szCs w:val="22"/>
                    </w:rPr>
                    <w:t>Stop riluzole and inform specialist. Review patient for signs and symptoms of infection and treat or refer according to local pathways, as appropriate. Arrange for immediate hospital assessment if neutropenic sepsis is suspected.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D746FD1"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543B5">
        <w:rPr>
          <w:rFonts w:ascii="Arial" w:hAnsi="Arial" w:cs="Arial"/>
          <w:b/>
          <w:bCs/>
        </w:rPr>
        <w:t xml:space="preserve"> </w:t>
      </w:r>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070E635D" w14:textId="76AF3303" w:rsidR="005E05B8" w:rsidRDefault="005E05B8"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r w:rsidRPr="005E05B8">
        <w:rPr>
          <w:rFonts w:ascii="Arial" w:eastAsia="Times New Roman" w:hAnsi="Arial" w:cs="Arial"/>
          <w:b/>
          <w:szCs w:val="24"/>
        </w:rPr>
        <w:t>Contraindications:</w:t>
      </w:r>
    </w:p>
    <w:p w14:paraId="3A44DEDE" w14:textId="7F26D053"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5E2260BB" w14:textId="2E3A5A24"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Hypersensitivity to the active substance or to any of the excipients</w:t>
      </w:r>
    </w:p>
    <w:p w14:paraId="67E5CF95" w14:textId="5454F058"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Hepatic disease or baseline transaminases greater than 3 times the upper limit of normal (ULN)</w:t>
      </w:r>
    </w:p>
    <w:p w14:paraId="76596550" w14:textId="1C3F74DE"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Pregnancy or breast-feeding</w:t>
      </w:r>
    </w:p>
    <w:p w14:paraId="0F12ECA7" w14:textId="6182B837"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Acute </w:t>
      </w:r>
      <w:r w:rsidR="00D7659F" w:rsidRPr="00307B2B">
        <w:rPr>
          <w:rFonts w:ascii="Arial" w:eastAsia="Times New Roman" w:hAnsi="Arial" w:cs="Arial"/>
          <w:bCs/>
          <w:szCs w:val="24"/>
        </w:rPr>
        <w:t>porphyria’s</w:t>
      </w:r>
    </w:p>
    <w:p w14:paraId="45600C34" w14:textId="10C10CB9" w:rsidR="00307B2B" w:rsidRDefault="00307B2B" w:rsidP="00307B2B">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5911C2E9" w14:textId="04F63F66" w:rsidR="00307B2B" w:rsidRDefault="00307B2B" w:rsidP="00307B2B">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Cs/>
          <w:szCs w:val="24"/>
        </w:rPr>
        <w:t xml:space="preserve">Cautions: </w:t>
      </w:r>
    </w:p>
    <w:p w14:paraId="4BB6E18C" w14:textId="15316F51"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Liver impairment: riluzole should be prescribed with care in patients with:</w:t>
      </w:r>
    </w:p>
    <w:p w14:paraId="41F7997E" w14:textId="0EA46FB9"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a history of abnormal liver function </w:t>
      </w:r>
    </w:p>
    <w:p w14:paraId="52C84440" w14:textId="1390E817"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slightly elevated serum transaminases (up to 3 times ULN), bilirubin and/or gamma-glutamyl transferase (GGT) levels </w:t>
      </w:r>
    </w:p>
    <w:p w14:paraId="67EF1E0B" w14:textId="30736C0C"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baseline elevations of several liver function tests (especially elevated bilirubin) should preclude the use of </w:t>
      </w:r>
      <w:proofErr w:type="gramStart"/>
      <w:r w:rsidRPr="00307B2B">
        <w:rPr>
          <w:rFonts w:ascii="Arial" w:eastAsia="Times New Roman" w:hAnsi="Arial" w:cs="Arial"/>
          <w:bCs/>
          <w:szCs w:val="24"/>
        </w:rPr>
        <w:t>riluzole</w:t>
      </w:r>
      <w:proofErr w:type="gramEnd"/>
    </w:p>
    <w:p w14:paraId="5B60812F" w14:textId="6E13105C"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Interstitial lung disease has been reported in patients treated with </w:t>
      </w:r>
      <w:proofErr w:type="gramStart"/>
      <w:r w:rsidRPr="00307B2B">
        <w:rPr>
          <w:rFonts w:ascii="Arial" w:eastAsia="Times New Roman" w:hAnsi="Arial" w:cs="Arial"/>
          <w:bCs/>
          <w:szCs w:val="24"/>
        </w:rPr>
        <w:t>riluzole</w:t>
      </w:r>
      <w:proofErr w:type="gramEnd"/>
    </w:p>
    <w:p w14:paraId="2048C536" w14:textId="3481309F"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Neutropenia or febrile illness. </w:t>
      </w:r>
    </w:p>
    <w:p w14:paraId="75EAEE83" w14:textId="462310D4" w:rsid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Renal Impairment (due to lack of data)</w:t>
      </w:r>
    </w:p>
    <w:p w14:paraId="4A496616" w14:textId="64B8E4D3" w:rsid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42F57F5" w14:textId="77777777" w:rsidR="00B061F6" w:rsidRP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7"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8"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7777777" w:rsidR="00E97C1A" w:rsidRPr="00843717"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771FC581" w14:textId="18E8CBFE" w:rsidR="005E05B8" w:rsidRDefault="005E05B8"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p w14:paraId="71B3E318" w14:textId="70AF1EA8" w:rsidR="005E05B8" w:rsidRDefault="005E05B8" w:rsidP="00307B2B">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Riluzole is metabolised by cytochrome P450 isoform 1A2 (CYP1A2</w:t>
      </w:r>
      <w:r w:rsidR="005D1D26" w:rsidRPr="00307B2B">
        <w:rPr>
          <w:rFonts w:ascii="Arial" w:eastAsia="Times New Roman" w:hAnsi="Arial" w:cs="Arial"/>
        </w:rPr>
        <w:t>) and</w:t>
      </w:r>
      <w:r w:rsidRPr="00307B2B">
        <w:rPr>
          <w:rFonts w:ascii="Arial" w:eastAsia="Times New Roman" w:hAnsi="Arial" w:cs="Arial"/>
        </w:rPr>
        <w:t xml:space="preserve"> has the potential to interact with drugs which inhibit or induce CYP1A2. The clinical relevance of these interactions has not been established, and some of these medicines are frequently used with riluzole without incident. Discuss with specialist team if there are any concerns.  </w:t>
      </w:r>
    </w:p>
    <w:p w14:paraId="741FEE7B" w14:textId="1119B82B" w:rsidR="00307B2B" w:rsidRPr="00307B2B" w:rsidRDefault="00307B2B">
      <w:pPr>
        <w:pStyle w:val="ListParagraph"/>
        <w:keepNext/>
        <w:numPr>
          <w:ilvl w:val="4"/>
          <w:numId w:val="14"/>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 xml:space="preserve">CYP1A2 inhibitors include caffeine, diclofenac, diazepam, clomipramine, imipramine, fluvoxamine, phenacetin, theophylline, amitriptyline, quinolones, mexiletine, nicergoline, rucaparib, vemurafenib, combined hormonal </w:t>
      </w:r>
      <w:proofErr w:type="gramStart"/>
      <w:r w:rsidRPr="00307B2B">
        <w:rPr>
          <w:rFonts w:ascii="Arial" w:eastAsia="Times New Roman" w:hAnsi="Arial" w:cs="Arial"/>
        </w:rPr>
        <w:t>contraceptives</w:t>
      </w:r>
      <w:proofErr w:type="gramEnd"/>
    </w:p>
    <w:p w14:paraId="0501190B" w14:textId="3A1F92FD" w:rsidR="00307B2B" w:rsidRPr="00307B2B" w:rsidRDefault="00307B2B">
      <w:pPr>
        <w:pStyle w:val="ListParagraph"/>
        <w:keepNext/>
        <w:numPr>
          <w:ilvl w:val="4"/>
          <w:numId w:val="13"/>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 xml:space="preserve">CYP1A2 inducers include cigarette smoke, charcoal-grilled food, rifampicin, </w:t>
      </w:r>
      <w:proofErr w:type="gramStart"/>
      <w:r w:rsidRPr="00307B2B">
        <w:rPr>
          <w:rFonts w:ascii="Arial" w:eastAsia="Times New Roman" w:hAnsi="Arial" w:cs="Arial"/>
        </w:rPr>
        <w:t>omeprazole</w:t>
      </w:r>
      <w:proofErr w:type="gramEnd"/>
    </w:p>
    <w:p w14:paraId="0E7769E3" w14:textId="77777777" w:rsidR="00BE545B" w:rsidRPr="00BE545B" w:rsidRDefault="00BE545B" w:rsidP="00BE545B">
      <w:pPr>
        <w:spacing w:after="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Pr="00307B2B" w:rsidRDefault="007819A8" w:rsidP="003F7848">
            <w:pPr>
              <w:spacing w:after="120"/>
              <w:rPr>
                <w:rFonts w:ascii="Arial" w:hAnsi="Arial" w:cs="Arial"/>
                <w:b/>
                <w:bCs/>
              </w:rPr>
            </w:pPr>
            <w:r w:rsidRPr="00307B2B">
              <w:rPr>
                <w:rFonts w:ascii="Arial" w:hAnsi="Arial" w:cs="Arial"/>
                <w:b/>
                <w:bCs/>
              </w:rPr>
              <w:t>ADVICE TO PATIENTS AND CARERS</w:t>
            </w:r>
          </w:p>
          <w:p w14:paraId="15C5294A" w14:textId="77777777" w:rsidR="007819A8" w:rsidRPr="00307B2B" w:rsidRDefault="007819A8" w:rsidP="00307B2B">
            <w:pPr>
              <w:pStyle w:val="NoSpacing"/>
              <w:rPr>
                <w:rFonts w:ascii="Arial" w:hAnsi="Arial" w:cs="Arial"/>
              </w:rPr>
            </w:pPr>
          </w:p>
          <w:p w14:paraId="5466496C" w14:textId="61EE8084" w:rsidR="003F7848" w:rsidRPr="00307B2B" w:rsidRDefault="003F7848" w:rsidP="00B061F6">
            <w:pPr>
              <w:pStyle w:val="NoSpacing"/>
              <w:rPr>
                <w:rFonts w:ascii="Arial" w:hAnsi="Arial" w:cs="Arial"/>
              </w:rPr>
            </w:pPr>
            <w:r w:rsidRPr="00307B2B">
              <w:rPr>
                <w:rFonts w:ascii="Arial" w:hAnsi="Arial" w:cs="Arial"/>
              </w:rPr>
              <w:t xml:space="preserve">The patient should be advised to report any of the following signs or symptoms to their primary care prescriber without delay:          </w:t>
            </w:r>
          </w:p>
          <w:p w14:paraId="731B9484" w14:textId="77777777" w:rsidR="003F7848" w:rsidRPr="00307B2B" w:rsidRDefault="003F7848">
            <w:pPr>
              <w:pStyle w:val="NoSpacing"/>
              <w:numPr>
                <w:ilvl w:val="4"/>
                <w:numId w:val="13"/>
              </w:numPr>
              <w:rPr>
                <w:rFonts w:ascii="Arial" w:hAnsi="Arial" w:cs="Arial"/>
              </w:rPr>
            </w:pPr>
            <w:r w:rsidRPr="00307B2B">
              <w:rPr>
                <w:rFonts w:ascii="Arial" w:hAnsi="Arial" w:cs="Arial"/>
              </w:rPr>
              <w:t>Signs or symptoms of infection, such as fever, chills or shivering, flu-like symptoms, sore throat, rashes, or mouth ulcers.</w:t>
            </w:r>
          </w:p>
          <w:p w14:paraId="041D7575" w14:textId="77777777" w:rsidR="003F7848" w:rsidRPr="00307B2B" w:rsidRDefault="003F7848">
            <w:pPr>
              <w:pStyle w:val="NoSpacing"/>
              <w:numPr>
                <w:ilvl w:val="4"/>
                <w:numId w:val="13"/>
              </w:numPr>
              <w:rPr>
                <w:rFonts w:ascii="Arial" w:hAnsi="Arial" w:cs="Arial"/>
              </w:rPr>
            </w:pPr>
            <w:r w:rsidRPr="00307B2B">
              <w:rPr>
                <w:rFonts w:ascii="Arial" w:hAnsi="Arial" w:cs="Arial"/>
              </w:rPr>
              <w:t>Dry cough and/or dyspnoea.</w:t>
            </w:r>
          </w:p>
          <w:p w14:paraId="792FB363" w14:textId="77777777" w:rsidR="003F7848" w:rsidRPr="00307B2B" w:rsidRDefault="003F7848">
            <w:pPr>
              <w:pStyle w:val="NoSpacing"/>
              <w:numPr>
                <w:ilvl w:val="4"/>
                <w:numId w:val="13"/>
              </w:numPr>
              <w:rPr>
                <w:rFonts w:ascii="Arial" w:hAnsi="Arial" w:cs="Arial"/>
              </w:rPr>
            </w:pPr>
            <w:r w:rsidRPr="00307B2B">
              <w:rPr>
                <w:rFonts w:ascii="Arial" w:hAnsi="Arial" w:cs="Arial"/>
              </w:rPr>
              <w:t>Signs or symptoms of liver problems, such as yellow skin or eyes (jaundice), itching all over, nausea or vomiting.</w:t>
            </w:r>
          </w:p>
          <w:p w14:paraId="66500DA9" w14:textId="77777777" w:rsidR="00B061F6" w:rsidRDefault="00B061F6" w:rsidP="00B061F6">
            <w:pPr>
              <w:pStyle w:val="NoSpacing"/>
              <w:ind w:left="360"/>
              <w:rPr>
                <w:rFonts w:ascii="Arial" w:hAnsi="Arial" w:cs="Arial"/>
              </w:rPr>
            </w:pPr>
          </w:p>
          <w:p w14:paraId="3601CB69" w14:textId="633794B0" w:rsidR="003F7848" w:rsidRPr="00307B2B" w:rsidRDefault="003F7848" w:rsidP="00B061F6">
            <w:pPr>
              <w:pStyle w:val="NoSpacing"/>
              <w:rPr>
                <w:rFonts w:ascii="Arial" w:hAnsi="Arial" w:cs="Arial"/>
              </w:rPr>
            </w:pPr>
            <w:r w:rsidRPr="00307B2B">
              <w:rPr>
                <w:rFonts w:ascii="Arial" w:hAnsi="Arial" w:cs="Arial"/>
              </w:rPr>
              <w:t>The patient should be advised:</w:t>
            </w:r>
          </w:p>
          <w:p w14:paraId="7DE54B17" w14:textId="77777777" w:rsidR="003F7848" w:rsidRPr="00307B2B" w:rsidRDefault="003F7848">
            <w:pPr>
              <w:pStyle w:val="NoSpacing"/>
              <w:numPr>
                <w:ilvl w:val="4"/>
                <w:numId w:val="13"/>
              </w:numPr>
              <w:rPr>
                <w:rFonts w:ascii="Arial" w:hAnsi="Arial" w:cs="Arial"/>
              </w:rPr>
            </w:pPr>
            <w:r w:rsidRPr="00307B2B">
              <w:rPr>
                <w:rFonts w:ascii="Arial" w:hAnsi="Arial" w:cs="Arial"/>
              </w:rPr>
              <w:t xml:space="preserve">Not to stop taking riluzole without talking to their doctor and not to share their medicines with anyone else. </w:t>
            </w:r>
          </w:p>
          <w:p w14:paraId="607EAA4A" w14:textId="77777777" w:rsidR="003F7848" w:rsidRPr="00307B2B" w:rsidRDefault="003F7848">
            <w:pPr>
              <w:pStyle w:val="NoSpacing"/>
              <w:numPr>
                <w:ilvl w:val="4"/>
                <w:numId w:val="13"/>
              </w:numPr>
              <w:rPr>
                <w:rFonts w:ascii="Arial" w:hAnsi="Arial" w:cs="Arial"/>
              </w:rPr>
            </w:pPr>
            <w:r w:rsidRPr="00307B2B">
              <w:rPr>
                <w:rFonts w:ascii="Arial" w:hAnsi="Arial" w:cs="Arial"/>
              </w:rPr>
              <w:lastRenderedPageBreak/>
              <w:t xml:space="preserve">Tell their prescriber if their smoking status changes, since this may affect their </w:t>
            </w:r>
            <w:proofErr w:type="gramStart"/>
            <w:r w:rsidRPr="00307B2B">
              <w:rPr>
                <w:rFonts w:ascii="Arial" w:hAnsi="Arial" w:cs="Arial"/>
              </w:rPr>
              <w:t>medicine</w:t>
            </w:r>
            <w:proofErr w:type="gramEnd"/>
          </w:p>
          <w:p w14:paraId="7657B950" w14:textId="0E38137A" w:rsidR="003F7848" w:rsidRPr="00307B2B" w:rsidRDefault="003F7848">
            <w:pPr>
              <w:pStyle w:val="NoSpacing"/>
              <w:numPr>
                <w:ilvl w:val="4"/>
                <w:numId w:val="13"/>
              </w:numPr>
              <w:rPr>
                <w:rFonts w:ascii="Arial" w:hAnsi="Arial" w:cs="Arial"/>
              </w:rPr>
            </w:pPr>
            <w:r w:rsidRPr="00307B2B">
              <w:rPr>
                <w:rFonts w:ascii="Arial" w:hAnsi="Arial" w:cs="Arial"/>
              </w:rPr>
              <w:t xml:space="preserve">Not to drive or operate machines if riluzole affects their ability to do so safely, </w:t>
            </w:r>
            <w:proofErr w:type="gramStart"/>
            <w:r w:rsidRPr="00307B2B">
              <w:rPr>
                <w:rFonts w:ascii="Arial" w:hAnsi="Arial" w:cs="Arial"/>
              </w:rPr>
              <w:t>e.g.</w:t>
            </w:r>
            <w:proofErr w:type="gramEnd"/>
            <w:r w:rsidRPr="00307B2B">
              <w:rPr>
                <w:rFonts w:ascii="Arial" w:hAnsi="Arial" w:cs="Arial"/>
              </w:rPr>
              <w:t xml:space="preserve"> by causing dizziness or drowsiness, and to inform the DVLA if their ability to drive safely is affected. See </w:t>
            </w:r>
            <w:hyperlink r:id="rId19" w:history="1">
              <w:r w:rsidRPr="00307B2B">
                <w:rPr>
                  <w:rStyle w:val="Hyperlink"/>
                  <w:rFonts w:ascii="Arial" w:hAnsi="Arial" w:cs="Arial"/>
                  <w:color w:val="auto"/>
                </w:rPr>
                <w:t>https://www.gov.uk/driving-medical-conditions</w:t>
              </w:r>
            </w:hyperlink>
            <w:r w:rsidRPr="00307B2B">
              <w:rPr>
                <w:rFonts w:ascii="Arial" w:hAnsi="Arial" w:cs="Arial"/>
              </w:rPr>
              <w:t xml:space="preserve"> and </w:t>
            </w:r>
            <w:hyperlink r:id="rId20" w:history="1">
              <w:r w:rsidRPr="00307B2B">
                <w:rPr>
                  <w:rStyle w:val="Hyperlink"/>
                  <w:rFonts w:ascii="Arial" w:hAnsi="Arial" w:cs="Arial"/>
                  <w:color w:val="auto"/>
                </w:rPr>
                <w:t>https://www.gov.uk/motor-neurone-disease-and-driving</w:t>
              </w:r>
            </w:hyperlink>
            <w:r w:rsidR="00B061F6">
              <w:t xml:space="preserve"> </w:t>
            </w:r>
          </w:p>
          <w:p w14:paraId="1E6D2980" w14:textId="77777777" w:rsidR="003F7848" w:rsidRPr="00307B2B" w:rsidRDefault="003F7848">
            <w:pPr>
              <w:pStyle w:val="NoSpacing"/>
              <w:numPr>
                <w:ilvl w:val="4"/>
                <w:numId w:val="13"/>
              </w:numPr>
              <w:rPr>
                <w:rFonts w:ascii="Arial" w:hAnsi="Arial" w:cs="Arial"/>
              </w:rPr>
            </w:pPr>
            <w:r w:rsidRPr="00307B2B">
              <w:rPr>
                <w:rFonts w:ascii="Arial" w:hAnsi="Arial" w:cs="Arial"/>
              </w:rPr>
              <w:t>Patient information</w:t>
            </w:r>
          </w:p>
          <w:p w14:paraId="5CDDDBA8" w14:textId="2B0D0A0D" w:rsidR="003F7848" w:rsidRPr="00307B2B" w:rsidRDefault="003F7848">
            <w:pPr>
              <w:pStyle w:val="NoSpacing"/>
              <w:numPr>
                <w:ilvl w:val="4"/>
                <w:numId w:val="13"/>
              </w:numPr>
              <w:rPr>
                <w:rFonts w:ascii="Arial" w:hAnsi="Arial" w:cs="Arial"/>
              </w:rPr>
            </w:pPr>
            <w:r w:rsidRPr="00307B2B">
              <w:rPr>
                <w:rFonts w:ascii="Arial" w:hAnsi="Arial" w:cs="Arial"/>
              </w:rPr>
              <w:t xml:space="preserve">MND association riluzole information leaflet </w:t>
            </w:r>
            <w:hyperlink r:id="rId21" w:history="1">
              <w:r w:rsidR="00B061F6" w:rsidRPr="00CF2274">
                <w:rPr>
                  <w:rStyle w:val="Hyperlink"/>
                  <w:rFonts w:ascii="Arial" w:hAnsi="Arial" w:cs="Arial"/>
                </w:rPr>
                <w:t>https://www.mndassociation.org/app/uploads/2015/07/5A-Riluzole.pdf</w:t>
              </w:r>
            </w:hyperlink>
            <w:r w:rsidR="00B061F6">
              <w:rPr>
                <w:rFonts w:ascii="Arial" w:hAnsi="Arial" w:cs="Arial"/>
              </w:rPr>
              <w:t xml:space="preserve"> </w:t>
            </w:r>
          </w:p>
          <w:p w14:paraId="464092CC" w14:textId="1F3378DC" w:rsidR="003F7848" w:rsidRPr="00307B2B" w:rsidRDefault="003F7848">
            <w:pPr>
              <w:pStyle w:val="NoSpacing"/>
              <w:numPr>
                <w:ilvl w:val="4"/>
                <w:numId w:val="13"/>
              </w:numPr>
              <w:rPr>
                <w:rFonts w:ascii="Arial" w:hAnsi="Arial" w:cs="Arial"/>
                <w:u w:val="single"/>
              </w:rPr>
            </w:pPr>
            <w:r w:rsidRPr="00307B2B">
              <w:rPr>
                <w:rFonts w:ascii="Arial" w:hAnsi="Arial" w:cs="Arial"/>
              </w:rPr>
              <w:t xml:space="preserve">MND Scotland riluzole fact sheet </w:t>
            </w:r>
            <w:hyperlink r:id="rId22" w:history="1">
              <w:r w:rsidRPr="00307B2B">
                <w:rPr>
                  <w:rStyle w:val="Hyperlink"/>
                  <w:rFonts w:ascii="Arial" w:hAnsi="Arial" w:cs="Arial"/>
                  <w:color w:val="auto"/>
                </w:rPr>
                <w:t>https://www.mndscotland.org.uk/media/1824/22-riluzole-2017.pdf</w:t>
              </w:r>
            </w:hyperlink>
            <w:r w:rsidR="00B061F6">
              <w:t xml:space="preserve"> </w:t>
            </w:r>
          </w:p>
          <w:p w14:paraId="364C82FD" w14:textId="77777777" w:rsidR="003F7848" w:rsidRPr="00307B2B" w:rsidRDefault="003F7848">
            <w:pPr>
              <w:pStyle w:val="NoSpacing"/>
              <w:numPr>
                <w:ilvl w:val="4"/>
                <w:numId w:val="13"/>
              </w:numPr>
              <w:rPr>
                <w:rFonts w:ascii="Arial" w:hAnsi="Arial" w:cs="Arial"/>
                <w:u w:val="single"/>
              </w:rPr>
            </w:pPr>
            <w:r w:rsidRPr="00307B2B">
              <w:rPr>
                <w:rFonts w:ascii="Arial" w:hAnsi="Arial" w:cs="Arial"/>
              </w:rPr>
              <w:t xml:space="preserve">NHS.uk. Low white blood cell count </w:t>
            </w:r>
            <w:hyperlink r:id="rId23" w:history="1">
              <w:r w:rsidRPr="00307B2B">
                <w:rPr>
                  <w:rStyle w:val="Hyperlink"/>
                  <w:rFonts w:ascii="Arial" w:hAnsi="Arial" w:cs="Arial"/>
                  <w:color w:val="auto"/>
                </w:rPr>
                <w:t>https://www.nhs.uk/conditions/low-white-blood-cell-count/</w:t>
              </w:r>
            </w:hyperlink>
            <w:r w:rsidRPr="00307B2B">
              <w:rPr>
                <w:rFonts w:ascii="Arial" w:hAnsi="Arial" w:cs="Arial"/>
              </w:rPr>
              <w:t xml:space="preserve"> </w:t>
            </w:r>
          </w:p>
          <w:p w14:paraId="1625F046" w14:textId="3049E673" w:rsidR="003F7848" w:rsidRPr="00307B2B" w:rsidRDefault="003F7848">
            <w:pPr>
              <w:pStyle w:val="NoSpacing"/>
              <w:numPr>
                <w:ilvl w:val="4"/>
                <w:numId w:val="13"/>
              </w:numPr>
              <w:rPr>
                <w:sz w:val="20"/>
                <w:szCs w:val="20"/>
              </w:rPr>
            </w:pPr>
            <w:r w:rsidRPr="00307B2B">
              <w:rPr>
                <w:rFonts w:ascii="Arial" w:hAnsi="Arial" w:cs="Arial"/>
              </w:rPr>
              <w:t xml:space="preserve">Patient information leaflets are also available from </w:t>
            </w:r>
            <w:hyperlink r:id="rId24" w:history="1">
              <w:r w:rsidRPr="00307B2B">
                <w:rPr>
                  <w:rStyle w:val="Hyperlink"/>
                  <w:rFonts w:ascii="Arial" w:hAnsi="Arial" w:cs="Arial"/>
                  <w:color w:val="auto"/>
                </w:rPr>
                <w:t>https://www.medicines.org.uk/emc/search?q=riluzole</w:t>
              </w:r>
            </w:hyperlink>
            <w:r w:rsidRPr="00307B2B">
              <w:rPr>
                <w:rFonts w:eastAsia="Times New Roman"/>
                <w:lang w:eastAsia="en-GB"/>
              </w:rPr>
              <w:t xml:space="preserve"> </w:t>
            </w:r>
          </w:p>
        </w:tc>
      </w:tr>
    </w:tbl>
    <w:p w14:paraId="0E2E2971" w14:textId="77777777" w:rsidR="00004CD4" w:rsidRDefault="00004CD4" w:rsidP="00CB147C">
      <w:pPr>
        <w:spacing w:after="0"/>
        <w:rPr>
          <w:b/>
        </w:rPr>
      </w:pPr>
    </w:p>
    <w:p w14:paraId="1F1B208B" w14:textId="77777777" w:rsidR="00C62913" w:rsidRDefault="00CB147C">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r w:rsidR="00C62913" w:rsidRPr="00C62913">
        <w:rPr>
          <w:rFonts w:ascii="Arial" w:eastAsia="Times New Roman" w:hAnsi="Arial" w:cstheme="minorHAnsi"/>
          <w:sz w:val="24"/>
          <w:lang w:eastAsia="en-GB"/>
        </w:rPr>
        <w:t xml:space="preserve"> </w:t>
      </w:r>
      <w:r w:rsidR="00C62913" w:rsidRPr="00C62913">
        <w:rPr>
          <w:rFonts w:ascii="Arial" w:eastAsia="Times New Roman" w:hAnsi="Arial" w:cs="Times New Roman"/>
          <w:b/>
          <w:bCs/>
          <w:szCs w:val="24"/>
        </w:rPr>
        <w:t xml:space="preserve">NICE TA20: </w:t>
      </w:r>
    </w:p>
    <w:p w14:paraId="6A1102DB" w14:textId="52E80CD8" w:rsidR="00C62913" w:rsidRPr="00C62913"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Guidance on the use of Riluzole (Rilutek) for the treatment of Motor Neurone Disease. January 2001. Accessed via </w:t>
      </w:r>
      <w:hyperlink r:id="rId25" w:history="1">
        <w:r w:rsidRPr="00C62913">
          <w:rPr>
            <w:rStyle w:val="Hyperlink"/>
            <w:rFonts w:ascii="Arial" w:eastAsia="Times New Roman" w:hAnsi="Arial" w:cs="Times New Roman"/>
            <w:bCs/>
            <w:szCs w:val="24"/>
          </w:rPr>
          <w:t>https://www.nice.org.uk/guidance/ta20</w:t>
        </w:r>
      </w:hyperlink>
      <w:r w:rsidRPr="00C62913">
        <w:rPr>
          <w:rFonts w:ascii="Arial" w:eastAsia="Times New Roman" w:hAnsi="Arial" w:cs="Times New Roman"/>
          <w:bCs/>
          <w:szCs w:val="24"/>
        </w:rPr>
        <w:t xml:space="preserve"> </w:t>
      </w:r>
    </w:p>
    <w:p w14:paraId="29A781CC" w14:textId="2B41A864" w:rsidR="00C62913" w:rsidRPr="00C62913"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NICE NG42: Motor neurone disease: assessment and </w:t>
      </w:r>
      <w:proofErr w:type="gramStart"/>
      <w:r w:rsidRPr="00C62913">
        <w:rPr>
          <w:rFonts w:ascii="Arial" w:eastAsia="Times New Roman" w:hAnsi="Arial" w:cs="Times New Roman"/>
          <w:bCs/>
          <w:szCs w:val="24"/>
        </w:rPr>
        <w:t>management..</w:t>
      </w:r>
      <w:proofErr w:type="gramEnd"/>
      <w:r w:rsidRPr="00C62913">
        <w:rPr>
          <w:rFonts w:ascii="Arial" w:eastAsia="Times New Roman" w:hAnsi="Arial" w:cs="Times New Roman"/>
          <w:bCs/>
          <w:szCs w:val="24"/>
        </w:rPr>
        <w:t xml:space="preserve"> Accessed via </w:t>
      </w:r>
      <w:hyperlink r:id="rId26" w:history="1">
        <w:r w:rsidRPr="00C62913">
          <w:rPr>
            <w:rStyle w:val="Hyperlink"/>
            <w:rFonts w:ascii="Arial" w:eastAsia="Times New Roman" w:hAnsi="Arial" w:cs="Times New Roman"/>
            <w:bCs/>
            <w:szCs w:val="24"/>
          </w:rPr>
          <w:t>https://www.nice.org.uk/guidance/ng42</w:t>
        </w:r>
      </w:hyperlink>
      <w:r w:rsidRPr="00C62913">
        <w:rPr>
          <w:rFonts w:ascii="Arial" w:eastAsia="Times New Roman" w:hAnsi="Arial" w:cs="Times New Roman"/>
          <w:bCs/>
          <w:szCs w:val="24"/>
        </w:rPr>
        <w:t xml:space="preserve"> </w:t>
      </w:r>
    </w:p>
    <w:p w14:paraId="3BAA83D4" w14:textId="77777777" w:rsidR="000C2DB5"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Riluzole 50 mg film-coated tablets (Rilutek®) Date of revision of the text 01/01/2021. Accessed via </w:t>
      </w:r>
      <w:hyperlink r:id="rId27" w:history="1">
        <w:r w:rsidR="000C2DB5" w:rsidRPr="003B36F2">
          <w:rPr>
            <w:rStyle w:val="Hyperlink"/>
            <w:rFonts w:ascii="Arial" w:eastAsia="Times New Roman" w:hAnsi="Arial" w:cs="Times New Roman"/>
            <w:bCs/>
            <w:szCs w:val="24"/>
          </w:rPr>
          <w:t>https://www.medicines.org.uk/emc/product/1101/smpc on 21/05/21</w:t>
        </w:r>
      </w:hyperlink>
    </w:p>
    <w:p w14:paraId="3554E19F" w14:textId="0B614BFF" w:rsidR="000C2DB5" w:rsidRPr="00307B2B" w:rsidRDefault="000C2DB5">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307B2B">
        <w:rPr>
          <w:rFonts w:ascii="Arial" w:eastAsia="Times New Roman" w:hAnsi="Arial" w:cs="Times New Roman"/>
          <w:bCs/>
          <w:szCs w:val="24"/>
        </w:rPr>
        <w:t xml:space="preserve">Handbook of Drug Administration via Enteral Feeding Tubes.  Riluzole. Accessed via </w:t>
      </w:r>
      <w:hyperlink r:id="rId28" w:anchor="/content/tubes/c330" w:history="1">
        <w:r w:rsidR="00307B2B" w:rsidRPr="00CF2274">
          <w:rPr>
            <w:rStyle w:val="Hyperlink"/>
            <w:rFonts w:ascii="Arial" w:eastAsia="Times New Roman" w:hAnsi="Arial" w:cs="Times New Roman"/>
            <w:bCs/>
            <w:szCs w:val="24"/>
          </w:rPr>
          <w:t>https://www.medicinescomplete.com/#/content/tubes/c330</w:t>
        </w:r>
      </w:hyperlink>
      <w:r w:rsidR="00307B2B">
        <w:rPr>
          <w:rFonts w:ascii="Arial" w:eastAsia="Times New Roman" w:hAnsi="Arial" w:cs="Times New Roman"/>
          <w:bCs/>
          <w:szCs w:val="24"/>
        </w:rPr>
        <w:t xml:space="preserve"> </w:t>
      </w:r>
    </w:p>
    <w:p w14:paraId="28469881" w14:textId="7B6CA433" w:rsidR="00C5458F" w:rsidRPr="00C62913" w:rsidRDefault="00C62913" w:rsidP="00C62913">
      <w:pPr>
        <w:keepNext/>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
          <w:bCs/>
          <w:szCs w:val="24"/>
        </w:rPr>
      </w:pPr>
      <w:r>
        <w:rPr>
          <w:rFonts w:ascii="Arial" w:eastAsia="Times New Roman" w:hAnsi="Arial" w:cs="Times New Roman"/>
          <w:b/>
          <w:bCs/>
          <w:szCs w:val="24"/>
        </w:rPr>
        <w:tab/>
      </w:r>
    </w:p>
    <w:p w14:paraId="37556641" w14:textId="77777777" w:rsidR="00C5458F" w:rsidRDefault="00C5458F" w:rsidP="003763B3">
      <w:pPr>
        <w:jc w:val="center"/>
        <w:rPr>
          <w:rFonts w:ascii="Arial" w:hAnsi="Arial" w:cs="Arial"/>
          <w:b/>
          <w:sz w:val="28"/>
          <w:u w:val="single"/>
        </w:rPr>
      </w:pPr>
    </w:p>
    <w:p w14:paraId="624099D6" w14:textId="77777777" w:rsidR="00C5458F" w:rsidRDefault="00C5458F" w:rsidP="003763B3">
      <w:pPr>
        <w:jc w:val="center"/>
        <w:rPr>
          <w:rFonts w:ascii="Arial" w:hAnsi="Arial" w:cs="Arial"/>
          <w:b/>
          <w:sz w:val="28"/>
          <w:u w:val="single"/>
        </w:rPr>
      </w:pPr>
    </w:p>
    <w:p w14:paraId="5FA3CEE5" w14:textId="77777777" w:rsidR="00C5458F" w:rsidRDefault="00C5458F" w:rsidP="00C5458F">
      <w:pPr>
        <w:rPr>
          <w:rFonts w:ascii="Arial" w:hAnsi="Arial" w:cs="Arial"/>
          <w:b/>
          <w:sz w:val="28"/>
          <w:u w:val="single"/>
        </w:rPr>
      </w:pPr>
    </w:p>
    <w:p w14:paraId="434176A4" w14:textId="77777777" w:rsidR="00C74787" w:rsidRDefault="00C74787" w:rsidP="00C5458F">
      <w:pPr>
        <w:rPr>
          <w:rFonts w:ascii="Arial" w:hAnsi="Arial" w:cs="Arial"/>
          <w:b/>
          <w:sz w:val="28"/>
          <w:u w:val="single"/>
        </w:rPr>
      </w:pPr>
    </w:p>
    <w:p w14:paraId="77C9884F" w14:textId="72ADC4B4" w:rsidR="00D763E4" w:rsidRDefault="00D763E4" w:rsidP="00C5458F">
      <w:pPr>
        <w:jc w:val="center"/>
        <w:rPr>
          <w:rFonts w:ascii="Arial" w:hAnsi="Arial" w:cs="Arial"/>
          <w:b/>
          <w:sz w:val="28"/>
          <w:u w:val="single"/>
        </w:rPr>
      </w:pPr>
    </w:p>
    <w:p w14:paraId="0F6013BF" w14:textId="73E23EA8" w:rsidR="00307B2B" w:rsidRDefault="00307B2B" w:rsidP="00C5458F">
      <w:pPr>
        <w:jc w:val="center"/>
        <w:rPr>
          <w:rFonts w:ascii="Arial" w:hAnsi="Arial" w:cs="Arial"/>
          <w:b/>
          <w:sz w:val="28"/>
          <w:u w:val="single"/>
        </w:rPr>
      </w:pPr>
    </w:p>
    <w:p w14:paraId="370DD1A3" w14:textId="4E32CE09" w:rsidR="00307B2B" w:rsidRDefault="00307B2B" w:rsidP="00C5458F">
      <w:pPr>
        <w:jc w:val="center"/>
        <w:rPr>
          <w:rFonts w:ascii="Arial" w:hAnsi="Arial" w:cs="Arial"/>
          <w:b/>
          <w:sz w:val="28"/>
          <w:u w:val="single"/>
        </w:rPr>
      </w:pPr>
    </w:p>
    <w:p w14:paraId="0E170271" w14:textId="75AE320F" w:rsidR="00F31F41" w:rsidRDefault="00F31F41" w:rsidP="00C5458F">
      <w:pPr>
        <w:jc w:val="center"/>
        <w:rPr>
          <w:rFonts w:ascii="Arial" w:hAnsi="Arial" w:cs="Arial"/>
          <w:b/>
          <w:sz w:val="28"/>
          <w:u w:val="single"/>
        </w:rPr>
      </w:pPr>
    </w:p>
    <w:p w14:paraId="36C358DE" w14:textId="7F351A61" w:rsidR="00252C6B" w:rsidRDefault="00252C6B" w:rsidP="00C5458F">
      <w:pPr>
        <w:jc w:val="center"/>
        <w:rPr>
          <w:rFonts w:ascii="Arial" w:hAnsi="Arial" w:cs="Arial"/>
          <w:b/>
          <w:sz w:val="28"/>
          <w:u w:val="single"/>
        </w:rPr>
      </w:pPr>
    </w:p>
    <w:p w14:paraId="3342045C" w14:textId="06AE007D" w:rsidR="00252C6B" w:rsidRDefault="00252C6B" w:rsidP="00C5458F">
      <w:pPr>
        <w:jc w:val="center"/>
        <w:rPr>
          <w:rFonts w:ascii="Arial" w:hAnsi="Arial" w:cs="Arial"/>
          <w:b/>
          <w:sz w:val="28"/>
          <w:u w:val="single"/>
        </w:rPr>
      </w:pPr>
    </w:p>
    <w:p w14:paraId="5C555E53" w14:textId="521088B8" w:rsidR="00252C6B" w:rsidRDefault="00252C6B" w:rsidP="00C5458F">
      <w:pPr>
        <w:jc w:val="center"/>
        <w:rPr>
          <w:rFonts w:ascii="Arial" w:hAnsi="Arial" w:cs="Arial"/>
          <w:b/>
          <w:sz w:val="28"/>
          <w:u w:val="single"/>
        </w:rPr>
      </w:pPr>
    </w:p>
    <w:p w14:paraId="5F59CA44" w14:textId="77777777" w:rsidR="00252C6B" w:rsidRDefault="00252C6B" w:rsidP="00C5458F">
      <w:pPr>
        <w:jc w:val="center"/>
        <w:rPr>
          <w:rFonts w:ascii="Arial" w:hAnsi="Arial" w:cs="Arial"/>
          <w:b/>
          <w:sz w:val="28"/>
          <w:u w:val="single"/>
        </w:rPr>
      </w:pPr>
    </w:p>
    <w:p w14:paraId="690D8F96" w14:textId="18636896" w:rsidR="00F31F41" w:rsidRDefault="00F31F41" w:rsidP="00C5458F">
      <w:pPr>
        <w:jc w:val="center"/>
        <w:rPr>
          <w:rFonts w:ascii="Arial" w:hAnsi="Arial" w:cs="Arial"/>
          <w:b/>
          <w:sz w:val="28"/>
          <w:u w:val="single"/>
        </w:rPr>
      </w:pPr>
    </w:p>
    <w:p w14:paraId="38B0100C" w14:textId="77777777" w:rsidR="00252C6B" w:rsidRDefault="00252C6B" w:rsidP="00C5458F">
      <w:pPr>
        <w:jc w:val="center"/>
        <w:rPr>
          <w:rFonts w:ascii="Arial" w:hAnsi="Arial" w:cs="Arial"/>
          <w:b/>
          <w:sz w:val="28"/>
          <w:u w:val="single"/>
        </w:rPr>
      </w:pPr>
    </w:p>
    <w:p w14:paraId="762F4AC0" w14:textId="77777777" w:rsidR="00F31F41" w:rsidRDefault="00F31F41" w:rsidP="002926D9">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D359AB" w14:paraId="32A1E5B0"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32C57B8"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 xml:space="preserve">Version </w:t>
            </w:r>
          </w:p>
        </w:tc>
        <w:tc>
          <w:tcPr>
            <w:tcW w:w="8509" w:type="dxa"/>
            <w:tcBorders>
              <w:top w:val="single" w:sz="4" w:space="0" w:color="auto"/>
              <w:left w:val="single" w:sz="4" w:space="0" w:color="auto"/>
              <w:bottom w:val="single" w:sz="4" w:space="0" w:color="auto"/>
              <w:right w:val="single" w:sz="4" w:space="0" w:color="auto"/>
            </w:tcBorders>
            <w:hideMark/>
          </w:tcPr>
          <w:p w14:paraId="1EF831F9" w14:textId="155A0579" w:rsidR="00D359AB" w:rsidRDefault="00252C6B" w:rsidP="00252C6B">
            <w:pPr>
              <w:spacing w:line="254" w:lineRule="auto"/>
              <w:contextualSpacing/>
              <w:rPr>
                <w:sz w:val="15"/>
                <w:szCs w:val="15"/>
              </w:rPr>
            </w:pPr>
            <w:r>
              <w:rPr>
                <w:rFonts w:ascii="Arial" w:eastAsia="Arial" w:hAnsi="Arial" w:cs="Arial"/>
                <w:sz w:val="15"/>
                <w:szCs w:val="15"/>
              </w:rPr>
              <w:t>V1</w:t>
            </w:r>
            <w:r w:rsidR="00D359AB">
              <w:rPr>
                <w:sz w:val="15"/>
                <w:szCs w:val="15"/>
              </w:rPr>
              <w:t xml:space="preserve"> </w:t>
            </w:r>
          </w:p>
        </w:tc>
      </w:tr>
      <w:tr w:rsidR="00D359AB" w14:paraId="3920D06F"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7F56EAD"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Borders>
              <w:top w:val="single" w:sz="4" w:space="0" w:color="auto"/>
              <w:left w:val="single" w:sz="4" w:space="0" w:color="auto"/>
              <w:bottom w:val="single" w:sz="4" w:space="0" w:color="auto"/>
              <w:right w:val="single" w:sz="4" w:space="0" w:color="auto"/>
            </w:tcBorders>
            <w:hideMark/>
          </w:tcPr>
          <w:p w14:paraId="6DA39F3D" w14:textId="45796E53" w:rsidR="00D359AB" w:rsidRDefault="00252C6B">
            <w:pPr>
              <w:rPr>
                <w:rFonts w:ascii="Arial" w:eastAsia="Arial" w:hAnsi="Arial" w:cs="Arial"/>
                <w:sz w:val="15"/>
                <w:szCs w:val="15"/>
              </w:rPr>
            </w:pPr>
            <w:r>
              <w:rPr>
                <w:rFonts w:ascii="Arial" w:eastAsia="Arial" w:hAnsi="Arial" w:cs="Arial"/>
                <w:sz w:val="15"/>
                <w:szCs w:val="15"/>
              </w:rPr>
              <w:t>HWE ICB PMOT</w:t>
            </w:r>
          </w:p>
        </w:tc>
      </w:tr>
      <w:tr w:rsidR="00D359AB" w14:paraId="3347F443"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3AE9141B"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Borders>
              <w:top w:val="single" w:sz="4" w:space="0" w:color="auto"/>
              <w:left w:val="single" w:sz="4" w:space="0" w:color="auto"/>
              <w:bottom w:val="single" w:sz="4" w:space="0" w:color="auto"/>
              <w:right w:val="single" w:sz="4" w:space="0" w:color="auto"/>
            </w:tcBorders>
            <w:hideMark/>
          </w:tcPr>
          <w:p w14:paraId="1AB52B39" w14:textId="377C19EE" w:rsidR="00D359AB" w:rsidRDefault="00252C6B">
            <w:pPr>
              <w:rPr>
                <w:rFonts w:ascii="Arial" w:eastAsia="Arial" w:hAnsi="Arial" w:cs="Arial"/>
                <w:sz w:val="15"/>
                <w:szCs w:val="15"/>
              </w:rPr>
            </w:pPr>
            <w:r>
              <w:rPr>
                <w:rFonts w:ascii="Arial" w:eastAsia="Arial" w:hAnsi="Arial" w:cs="Arial"/>
                <w:sz w:val="15"/>
                <w:szCs w:val="15"/>
              </w:rPr>
              <w:t>HWE APC</w:t>
            </w:r>
          </w:p>
        </w:tc>
      </w:tr>
      <w:tr w:rsidR="00D359AB" w14:paraId="74EEC3F8"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6A727DE9"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Date approved/updated</w:t>
            </w:r>
          </w:p>
        </w:tc>
        <w:tc>
          <w:tcPr>
            <w:tcW w:w="8509" w:type="dxa"/>
            <w:tcBorders>
              <w:top w:val="single" w:sz="4" w:space="0" w:color="auto"/>
              <w:left w:val="single" w:sz="4" w:space="0" w:color="auto"/>
              <w:bottom w:val="single" w:sz="4" w:space="0" w:color="auto"/>
              <w:right w:val="single" w:sz="4" w:space="0" w:color="auto"/>
            </w:tcBorders>
            <w:hideMark/>
          </w:tcPr>
          <w:p w14:paraId="4555501A" w14:textId="69F949CA" w:rsidR="00D359AB" w:rsidRDefault="00D359AB">
            <w:pPr>
              <w:rPr>
                <w:rFonts w:ascii="Arial" w:eastAsia="Arial" w:hAnsi="Arial" w:cs="Arial"/>
                <w:sz w:val="15"/>
                <w:szCs w:val="15"/>
              </w:rPr>
            </w:pPr>
            <w:r>
              <w:rPr>
                <w:rFonts w:ascii="Arial" w:eastAsia="Arial" w:hAnsi="Arial" w:cs="Arial"/>
                <w:sz w:val="15"/>
                <w:szCs w:val="15"/>
              </w:rPr>
              <w:t>November 2023</w:t>
            </w:r>
          </w:p>
        </w:tc>
      </w:tr>
      <w:tr w:rsidR="00D359AB" w14:paraId="03F2E148"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6E0E8B9"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 xml:space="preserve">Review date: </w:t>
            </w:r>
          </w:p>
        </w:tc>
        <w:tc>
          <w:tcPr>
            <w:tcW w:w="8509" w:type="dxa"/>
            <w:tcBorders>
              <w:top w:val="single" w:sz="4" w:space="0" w:color="auto"/>
              <w:left w:val="single" w:sz="4" w:space="0" w:color="auto"/>
              <w:bottom w:val="single" w:sz="4" w:space="0" w:color="auto"/>
              <w:right w:val="single" w:sz="4" w:space="0" w:color="auto"/>
            </w:tcBorders>
            <w:hideMark/>
          </w:tcPr>
          <w:p w14:paraId="7D4CBCC6" w14:textId="77777777" w:rsidR="00D359AB" w:rsidRDefault="00D359AB">
            <w:pPr>
              <w:rPr>
                <w:rFonts w:ascii="Arial" w:eastAsia="Arial" w:hAnsi="Arial" w:cs="Arial"/>
                <w:sz w:val="15"/>
                <w:szCs w:val="15"/>
              </w:rPr>
            </w:pPr>
            <w:r>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D359AB" w14:paraId="466DEA34"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17B9499F"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Superseded version</w:t>
            </w:r>
          </w:p>
        </w:tc>
        <w:tc>
          <w:tcPr>
            <w:tcW w:w="8509" w:type="dxa"/>
            <w:tcBorders>
              <w:top w:val="single" w:sz="4" w:space="0" w:color="auto"/>
              <w:left w:val="single" w:sz="4" w:space="0" w:color="auto"/>
              <w:bottom w:val="single" w:sz="4" w:space="0" w:color="auto"/>
              <w:right w:val="single" w:sz="4" w:space="0" w:color="auto"/>
            </w:tcBorders>
            <w:hideMark/>
          </w:tcPr>
          <w:p w14:paraId="3A4A10A9" w14:textId="2D244993" w:rsidR="00D359AB" w:rsidRDefault="00800A2C">
            <w:pPr>
              <w:rPr>
                <w:rFonts w:ascii="Arial" w:eastAsia="Arial" w:hAnsi="Arial" w:cs="Arial"/>
                <w:sz w:val="15"/>
                <w:szCs w:val="15"/>
              </w:rPr>
            </w:pPr>
            <w:r>
              <w:rPr>
                <w:rFonts w:ascii="Arial" w:eastAsia="Arial" w:hAnsi="Arial" w:cs="Arial"/>
                <w:sz w:val="15"/>
                <w:szCs w:val="15"/>
              </w:rPr>
              <w:t>n/a</w:t>
            </w:r>
          </w:p>
        </w:tc>
      </w:tr>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29"/>
      <w:footerReference w:type="default" r:id="rId30"/>
      <w:headerReference w:type="first" r:id="rId31"/>
      <w:footerReference w:type="first" r:id="rId32"/>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88E5" w14:textId="77777777" w:rsidR="00880A02" w:rsidRDefault="00880A02" w:rsidP="006F4129">
      <w:pPr>
        <w:spacing w:after="0" w:line="240" w:lineRule="auto"/>
      </w:pPr>
      <w:r>
        <w:separator/>
      </w:r>
    </w:p>
  </w:endnote>
  <w:endnote w:type="continuationSeparator" w:id="0">
    <w:p w14:paraId="5ED4AFEB" w14:textId="77777777" w:rsidR="00880A02" w:rsidRDefault="00880A02"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FDABB5E" w:rsidR="00D95A4B" w:rsidRPr="001A6B58" w:rsidRDefault="00307B2B">
    <w:pPr>
      <w:pStyle w:val="Footer"/>
      <w:rPr>
        <w:rFonts w:ascii="Arial" w:hAnsi="Arial" w:cs="Arial"/>
        <w:sz w:val="18"/>
      </w:rPr>
    </w:pPr>
    <w:r>
      <w:rPr>
        <w:rFonts w:ascii="Arial" w:eastAsia="Times New Roman" w:hAnsi="Arial" w:cs="Times New Roman"/>
        <w:b/>
        <w:bCs/>
        <w:sz w:val="16"/>
        <w:szCs w:val="28"/>
      </w:rPr>
      <w:t xml:space="preserve">Riluzole Shared </w:t>
    </w:r>
    <w:r w:rsidR="00800A2C">
      <w:rPr>
        <w:rFonts w:ascii="Arial" w:eastAsia="Times New Roman" w:hAnsi="Arial" w:cs="Times New Roman"/>
        <w:b/>
        <w:bCs/>
        <w:sz w:val="16"/>
        <w:szCs w:val="28"/>
      </w:rPr>
      <w:t>C</w:t>
    </w:r>
    <w:r>
      <w:rPr>
        <w:rFonts w:ascii="Arial" w:eastAsia="Times New Roman" w:hAnsi="Arial" w:cs="Times New Roman"/>
        <w:b/>
        <w:bCs/>
        <w:sz w:val="16"/>
        <w:szCs w:val="28"/>
      </w:rPr>
      <w:t xml:space="preserve">are </w:t>
    </w:r>
    <w:r w:rsidR="00800A2C">
      <w:rPr>
        <w:rFonts w:ascii="Arial" w:eastAsia="Times New Roman" w:hAnsi="Arial" w:cs="Times New Roman"/>
        <w:b/>
        <w:bCs/>
        <w:sz w:val="16"/>
        <w:szCs w:val="28"/>
      </w:rPr>
      <w:t>P</w:t>
    </w:r>
    <w:r>
      <w:rPr>
        <w:rFonts w:ascii="Arial" w:eastAsia="Times New Roman" w:hAnsi="Arial" w:cs="Times New Roman"/>
        <w:b/>
        <w:bCs/>
        <w:sz w:val="16"/>
        <w:szCs w:val="28"/>
      </w:rPr>
      <w:t>rotocol</w:t>
    </w:r>
    <w:r w:rsidR="00D95A4B">
      <w:rPr>
        <w:rFonts w:ascii="Arial" w:eastAsia="Times New Roman" w:hAnsi="Arial" w:cs="Times New Roman"/>
        <w:b/>
        <w:bCs/>
        <w:sz w:val="16"/>
        <w:szCs w:val="28"/>
      </w:rPr>
      <w:t xml:space="preserve"> </w:t>
    </w:r>
    <w:r w:rsidR="00800A2C">
      <w:rPr>
        <w:rFonts w:ascii="Arial" w:eastAsia="Times New Roman" w:hAnsi="Arial" w:cs="Times New Roman"/>
        <w:b/>
        <w:bCs/>
        <w:sz w:val="16"/>
        <w:szCs w:val="28"/>
      </w:rPr>
      <w:t xml:space="preserve">November 2023 </w:t>
    </w:r>
    <w:r w:rsidR="00D95A4B">
      <w:rPr>
        <w:rFonts w:ascii="Arial" w:eastAsia="Times New Roman" w:hAnsi="Arial" w:cs="Times New Roman"/>
        <w:b/>
        <w:bCs/>
        <w:sz w:val="16"/>
        <w:szCs w:val="28"/>
      </w:rPr>
      <w:t>final v1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8140FB1" w:rsidR="00D95A4B" w:rsidRDefault="00D7659F"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Riluzole</w:t>
    </w:r>
    <w:r w:rsidR="00D95A4B" w:rsidRPr="00AC724B">
      <w:rPr>
        <w:rFonts w:ascii="Arial" w:eastAsia="Times New Roman" w:hAnsi="Arial" w:cs="Times New Roman"/>
        <w:b/>
        <w:bCs/>
        <w:sz w:val="16"/>
        <w:szCs w:val="28"/>
      </w:rPr>
      <w:t xml:space="preserve"> Share</w:t>
    </w:r>
    <w:r w:rsidR="00D95A4B">
      <w:rPr>
        <w:rFonts w:ascii="Arial" w:eastAsia="Times New Roman" w:hAnsi="Arial" w:cs="Times New Roman"/>
        <w:b/>
        <w:bCs/>
        <w:sz w:val="16"/>
        <w:szCs w:val="28"/>
      </w:rPr>
      <w:t xml:space="preserve">d Care Protocol </w:t>
    </w:r>
    <w:r w:rsidR="001F5FD4">
      <w:rPr>
        <w:rFonts w:ascii="Arial" w:eastAsia="Times New Roman" w:hAnsi="Arial" w:cs="Times New Roman"/>
        <w:b/>
        <w:bCs/>
        <w:sz w:val="16"/>
        <w:szCs w:val="28"/>
      </w:rPr>
      <w:t>November</w:t>
    </w:r>
    <w:r w:rsidR="00D95A4B">
      <w:rPr>
        <w:rFonts w:ascii="Arial" w:eastAsia="Times New Roman" w:hAnsi="Arial" w:cs="Times New Roman"/>
        <w:b/>
        <w:bCs/>
        <w:sz w:val="16"/>
        <w:szCs w:val="28"/>
      </w:rPr>
      <w:t xml:space="preserve"> 202</w:t>
    </w:r>
    <w:r>
      <w:rPr>
        <w:rFonts w:ascii="Arial" w:eastAsia="Times New Roman" w:hAnsi="Arial" w:cs="Times New Roman"/>
        <w:b/>
        <w:bCs/>
        <w:sz w:val="16"/>
        <w:szCs w:val="28"/>
      </w:rPr>
      <w:t>3</w:t>
    </w:r>
    <w:r w:rsidR="00D95A4B">
      <w:rPr>
        <w:rFonts w:ascii="Arial" w:eastAsia="Times New Roman" w:hAnsi="Arial" w:cs="Times New Roman"/>
        <w:b/>
        <w:bCs/>
        <w:sz w:val="16"/>
        <w:szCs w:val="28"/>
      </w:rPr>
      <w:t xml:space="preserve"> final v1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3577" w14:textId="77777777" w:rsidR="00880A02" w:rsidRDefault="00880A02" w:rsidP="006F4129">
      <w:pPr>
        <w:spacing w:after="0" w:line="240" w:lineRule="auto"/>
      </w:pPr>
      <w:r>
        <w:separator/>
      </w:r>
    </w:p>
  </w:footnote>
  <w:footnote w:type="continuationSeparator" w:id="0">
    <w:p w14:paraId="6F5E293B" w14:textId="77777777" w:rsidR="00880A02" w:rsidRDefault="00880A02"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6A55F715" w:rsidR="00F31F41" w:rsidRDefault="00C5402C" w:rsidP="00F31F4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3D98E50B" wp14:editId="20979FEC">
          <wp:simplePos x="0" y="0"/>
          <wp:positionH relativeFrom="margin">
            <wp:posOffset>6153150</wp:posOffset>
          </wp:positionH>
          <wp:positionV relativeFrom="paragraph">
            <wp:posOffset>-95251</wp:posOffset>
          </wp:positionV>
          <wp:extent cx="836295" cy="541275"/>
          <wp:effectExtent l="0" t="0" r="1905" b="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41467" cy="544623"/>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F8771FE" wp14:editId="39343E18">
          <wp:simplePos x="0" y="0"/>
          <wp:positionH relativeFrom="margin">
            <wp:posOffset>-161925</wp:posOffset>
          </wp:positionH>
          <wp:positionV relativeFrom="paragraph">
            <wp:posOffset>-28575</wp:posOffset>
          </wp:positionV>
          <wp:extent cx="647700" cy="492760"/>
          <wp:effectExtent l="0" t="0" r="0" b="254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8711" cy="493529"/>
                  </a:xfrm>
                  <a:prstGeom prst="rect">
                    <a:avLst/>
                  </a:prstGeom>
                </pic:spPr>
              </pic:pic>
            </a:graphicData>
          </a:graphic>
          <wp14:sizeRelH relativeFrom="page">
            <wp14:pctWidth>0</wp14:pctWidth>
          </wp14:sizeRelH>
          <wp14:sizeRelV relativeFrom="page">
            <wp14:pctHeight>0</wp14:pctHeight>
          </wp14:sizeRelV>
        </wp:anchor>
      </w:drawing>
    </w:r>
    <w:r w:rsidR="00F31F41">
      <w:rPr>
        <w:noProof/>
        <w:color w:val="FF0000"/>
        <w:lang w:eastAsia="en-GB"/>
      </w:rPr>
      <w:t xml:space="preserve">            </w:t>
    </w:r>
    <w:r w:rsidR="00F31F41">
      <w:rPr>
        <w:noProof/>
        <w:color w:val="FF0000"/>
        <w:lang w:eastAsia="en-GB"/>
      </w:rPr>
      <w:tab/>
    </w:r>
  </w:p>
  <w:p w14:paraId="2366324A" w14:textId="33C404F4" w:rsidR="00D95A4B" w:rsidRPr="00F31F41" w:rsidRDefault="00D95A4B"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4"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3"/>
  </w:num>
  <w:num w:numId="2" w16cid:durableId="1709572495">
    <w:abstractNumId w:val="6"/>
  </w:num>
  <w:num w:numId="3" w16cid:durableId="1577058697">
    <w:abstractNumId w:val="9"/>
  </w:num>
  <w:num w:numId="4" w16cid:durableId="1067260621">
    <w:abstractNumId w:val="7"/>
  </w:num>
  <w:num w:numId="5" w16cid:durableId="180434222">
    <w:abstractNumId w:val="0"/>
  </w:num>
  <w:num w:numId="6" w16cid:durableId="2135056906">
    <w:abstractNumId w:val="14"/>
  </w:num>
  <w:num w:numId="7" w16cid:durableId="745223915">
    <w:abstractNumId w:val="8"/>
  </w:num>
  <w:num w:numId="8" w16cid:durableId="1518233034">
    <w:abstractNumId w:val="1"/>
  </w:num>
  <w:num w:numId="9" w16cid:durableId="1882550741">
    <w:abstractNumId w:val="4"/>
  </w:num>
  <w:num w:numId="10" w16cid:durableId="767316337">
    <w:abstractNumId w:val="10"/>
  </w:num>
  <w:num w:numId="11" w16cid:durableId="35280706">
    <w:abstractNumId w:val="11"/>
  </w:num>
  <w:num w:numId="12" w16cid:durableId="1485585190">
    <w:abstractNumId w:val="5"/>
  </w:num>
  <w:num w:numId="13" w16cid:durableId="47269412">
    <w:abstractNumId w:val="2"/>
  </w:num>
  <w:num w:numId="14" w16cid:durableId="103578256">
    <w:abstractNumId w:val="12"/>
  </w:num>
  <w:num w:numId="15" w16cid:durableId="204879486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CkcD7dQL3QccSEjojpVHhGIsi9m66OvOoqWthXD+CEMwZQ606rfOmyoUsUqou5mTUMNDqY9gFkx6rze3MY/ZA==" w:salt="UVU61qyvQJP4RNMToqV0fg=="/>
  <w:defaultTabStop w:val="35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1721F"/>
    <w:rsid w:val="00020DF8"/>
    <w:rsid w:val="00033131"/>
    <w:rsid w:val="000349CF"/>
    <w:rsid w:val="00040BCE"/>
    <w:rsid w:val="00051449"/>
    <w:rsid w:val="00056F0B"/>
    <w:rsid w:val="00061E36"/>
    <w:rsid w:val="000678AD"/>
    <w:rsid w:val="0007734E"/>
    <w:rsid w:val="00081B1B"/>
    <w:rsid w:val="000833DA"/>
    <w:rsid w:val="000902EE"/>
    <w:rsid w:val="00090C38"/>
    <w:rsid w:val="000A3722"/>
    <w:rsid w:val="000A3EC0"/>
    <w:rsid w:val="000C2DB5"/>
    <w:rsid w:val="000C7F57"/>
    <w:rsid w:val="000D455C"/>
    <w:rsid w:val="000D7991"/>
    <w:rsid w:val="000E1FD2"/>
    <w:rsid w:val="000F0B54"/>
    <w:rsid w:val="00116B64"/>
    <w:rsid w:val="00121068"/>
    <w:rsid w:val="00122599"/>
    <w:rsid w:val="00141F69"/>
    <w:rsid w:val="0015736E"/>
    <w:rsid w:val="00181294"/>
    <w:rsid w:val="001A17F5"/>
    <w:rsid w:val="001A3040"/>
    <w:rsid w:val="001A6B58"/>
    <w:rsid w:val="001B4F65"/>
    <w:rsid w:val="001B6917"/>
    <w:rsid w:val="001B7240"/>
    <w:rsid w:val="001C5D73"/>
    <w:rsid w:val="001C72F0"/>
    <w:rsid w:val="001D735A"/>
    <w:rsid w:val="001D75EA"/>
    <w:rsid w:val="001F5FD4"/>
    <w:rsid w:val="002006A3"/>
    <w:rsid w:val="002026D4"/>
    <w:rsid w:val="00216557"/>
    <w:rsid w:val="0022594E"/>
    <w:rsid w:val="00252C6B"/>
    <w:rsid w:val="0026584D"/>
    <w:rsid w:val="00274684"/>
    <w:rsid w:val="00281A3C"/>
    <w:rsid w:val="002926D9"/>
    <w:rsid w:val="002954B6"/>
    <w:rsid w:val="002A009B"/>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64FD3"/>
    <w:rsid w:val="003711DA"/>
    <w:rsid w:val="00376393"/>
    <w:rsid w:val="003763B3"/>
    <w:rsid w:val="00382843"/>
    <w:rsid w:val="00384379"/>
    <w:rsid w:val="0039285C"/>
    <w:rsid w:val="003B6537"/>
    <w:rsid w:val="003D1B74"/>
    <w:rsid w:val="003D6F3B"/>
    <w:rsid w:val="003F2A47"/>
    <w:rsid w:val="003F3B33"/>
    <w:rsid w:val="003F7848"/>
    <w:rsid w:val="004052E9"/>
    <w:rsid w:val="00406BF2"/>
    <w:rsid w:val="00420744"/>
    <w:rsid w:val="00442D9B"/>
    <w:rsid w:val="00453CB7"/>
    <w:rsid w:val="00454560"/>
    <w:rsid w:val="00455A6A"/>
    <w:rsid w:val="00456D4B"/>
    <w:rsid w:val="004579C4"/>
    <w:rsid w:val="00473A3C"/>
    <w:rsid w:val="00474C2D"/>
    <w:rsid w:val="004A18BA"/>
    <w:rsid w:val="004A4384"/>
    <w:rsid w:val="004B177D"/>
    <w:rsid w:val="004B3E41"/>
    <w:rsid w:val="004D0D25"/>
    <w:rsid w:val="004D5DB4"/>
    <w:rsid w:val="004E5259"/>
    <w:rsid w:val="00500E2E"/>
    <w:rsid w:val="005026B1"/>
    <w:rsid w:val="0052755D"/>
    <w:rsid w:val="00541195"/>
    <w:rsid w:val="005430C6"/>
    <w:rsid w:val="005476BB"/>
    <w:rsid w:val="005578FA"/>
    <w:rsid w:val="00561381"/>
    <w:rsid w:val="00564F68"/>
    <w:rsid w:val="0057501A"/>
    <w:rsid w:val="00593B38"/>
    <w:rsid w:val="005C309C"/>
    <w:rsid w:val="005C6D32"/>
    <w:rsid w:val="005C7885"/>
    <w:rsid w:val="005D1B7A"/>
    <w:rsid w:val="005D1D26"/>
    <w:rsid w:val="005D3C00"/>
    <w:rsid w:val="005D5FCA"/>
    <w:rsid w:val="005E05B8"/>
    <w:rsid w:val="005E176B"/>
    <w:rsid w:val="005E21BE"/>
    <w:rsid w:val="005F1AE2"/>
    <w:rsid w:val="005F2CB7"/>
    <w:rsid w:val="005F4854"/>
    <w:rsid w:val="00603355"/>
    <w:rsid w:val="00603489"/>
    <w:rsid w:val="00610905"/>
    <w:rsid w:val="00615509"/>
    <w:rsid w:val="00631DFD"/>
    <w:rsid w:val="00655FB4"/>
    <w:rsid w:val="00663031"/>
    <w:rsid w:val="00672B57"/>
    <w:rsid w:val="00673DDC"/>
    <w:rsid w:val="00682308"/>
    <w:rsid w:val="00682980"/>
    <w:rsid w:val="006832A6"/>
    <w:rsid w:val="00696C80"/>
    <w:rsid w:val="006A2066"/>
    <w:rsid w:val="006A351A"/>
    <w:rsid w:val="006A5E49"/>
    <w:rsid w:val="006A7081"/>
    <w:rsid w:val="006C5A53"/>
    <w:rsid w:val="006D2CF8"/>
    <w:rsid w:val="006F31C8"/>
    <w:rsid w:val="006F4129"/>
    <w:rsid w:val="00707545"/>
    <w:rsid w:val="00710AA9"/>
    <w:rsid w:val="00723203"/>
    <w:rsid w:val="00725343"/>
    <w:rsid w:val="007319F6"/>
    <w:rsid w:val="0073239C"/>
    <w:rsid w:val="00755258"/>
    <w:rsid w:val="00755AEA"/>
    <w:rsid w:val="007615C2"/>
    <w:rsid w:val="00773102"/>
    <w:rsid w:val="007733C3"/>
    <w:rsid w:val="007819A8"/>
    <w:rsid w:val="0078393A"/>
    <w:rsid w:val="00785ADF"/>
    <w:rsid w:val="0079718D"/>
    <w:rsid w:val="007A20CB"/>
    <w:rsid w:val="007A3CA6"/>
    <w:rsid w:val="007B555D"/>
    <w:rsid w:val="007B5CB4"/>
    <w:rsid w:val="007C7176"/>
    <w:rsid w:val="00800A2C"/>
    <w:rsid w:val="00804862"/>
    <w:rsid w:val="0080613F"/>
    <w:rsid w:val="00814A87"/>
    <w:rsid w:val="00824646"/>
    <w:rsid w:val="00832A16"/>
    <w:rsid w:val="00843717"/>
    <w:rsid w:val="00852110"/>
    <w:rsid w:val="008522DD"/>
    <w:rsid w:val="008551E2"/>
    <w:rsid w:val="00870BC7"/>
    <w:rsid w:val="00877DBD"/>
    <w:rsid w:val="00880A02"/>
    <w:rsid w:val="008B71E0"/>
    <w:rsid w:val="008C0C66"/>
    <w:rsid w:val="008C34F3"/>
    <w:rsid w:val="008C60DC"/>
    <w:rsid w:val="008C60E5"/>
    <w:rsid w:val="008D03D1"/>
    <w:rsid w:val="008D1EAF"/>
    <w:rsid w:val="008D3443"/>
    <w:rsid w:val="008E51B6"/>
    <w:rsid w:val="008E77E6"/>
    <w:rsid w:val="0091151D"/>
    <w:rsid w:val="00924742"/>
    <w:rsid w:val="00926B59"/>
    <w:rsid w:val="00941CD1"/>
    <w:rsid w:val="00947492"/>
    <w:rsid w:val="009A2881"/>
    <w:rsid w:val="009A6FA9"/>
    <w:rsid w:val="009B01B2"/>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4A9C"/>
    <w:rsid w:val="00AB7F7D"/>
    <w:rsid w:val="00AC724B"/>
    <w:rsid w:val="00AD5982"/>
    <w:rsid w:val="00AD742E"/>
    <w:rsid w:val="00AE31E5"/>
    <w:rsid w:val="00AE599B"/>
    <w:rsid w:val="00AF076D"/>
    <w:rsid w:val="00AF6D3E"/>
    <w:rsid w:val="00B061F6"/>
    <w:rsid w:val="00B07E9F"/>
    <w:rsid w:val="00B10C94"/>
    <w:rsid w:val="00B11148"/>
    <w:rsid w:val="00B11AF0"/>
    <w:rsid w:val="00B127EC"/>
    <w:rsid w:val="00B1737A"/>
    <w:rsid w:val="00B30881"/>
    <w:rsid w:val="00B51190"/>
    <w:rsid w:val="00B62EE0"/>
    <w:rsid w:val="00B91E12"/>
    <w:rsid w:val="00B920C0"/>
    <w:rsid w:val="00B94E30"/>
    <w:rsid w:val="00B95106"/>
    <w:rsid w:val="00BA3B1F"/>
    <w:rsid w:val="00BA7759"/>
    <w:rsid w:val="00BB233D"/>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02C"/>
    <w:rsid w:val="00C5458F"/>
    <w:rsid w:val="00C54D33"/>
    <w:rsid w:val="00C62913"/>
    <w:rsid w:val="00C63E57"/>
    <w:rsid w:val="00C67353"/>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359AB"/>
    <w:rsid w:val="00D40180"/>
    <w:rsid w:val="00D43187"/>
    <w:rsid w:val="00D435E7"/>
    <w:rsid w:val="00D50868"/>
    <w:rsid w:val="00D52138"/>
    <w:rsid w:val="00D73BA6"/>
    <w:rsid w:val="00D7516C"/>
    <w:rsid w:val="00D763E4"/>
    <w:rsid w:val="00D7659F"/>
    <w:rsid w:val="00D91D06"/>
    <w:rsid w:val="00D95A4B"/>
    <w:rsid w:val="00DA12AC"/>
    <w:rsid w:val="00DC2E68"/>
    <w:rsid w:val="00DD1664"/>
    <w:rsid w:val="00DD4907"/>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5BC7"/>
    <w:rsid w:val="00E97C1A"/>
    <w:rsid w:val="00EA0CBA"/>
    <w:rsid w:val="00EA3D76"/>
    <w:rsid w:val="00EA56B7"/>
    <w:rsid w:val="00EF3E34"/>
    <w:rsid w:val="00EF65C0"/>
    <w:rsid w:val="00F076D6"/>
    <w:rsid w:val="00F12528"/>
    <w:rsid w:val="00F12CB2"/>
    <w:rsid w:val="00F243D6"/>
    <w:rsid w:val="00F31F41"/>
    <w:rsid w:val="00F32762"/>
    <w:rsid w:val="00F6322C"/>
    <w:rsid w:val="00F675C7"/>
    <w:rsid w:val="00F700A3"/>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760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hyperlink" Target="https://www.nice.org.uk/guidance/ng42" TargetMode="External"/><Relationship Id="rId3" Type="http://schemas.openxmlformats.org/officeDocument/2006/relationships/styles" Target="styles.xml"/><Relationship Id="rId21" Type="http://schemas.openxmlformats.org/officeDocument/2006/relationships/hyperlink" Target="https://www.mndassociation.org/app/uploads/2015/07/5A-Riluzol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www.bnf.org/bnf/index.htm" TargetMode="External"/><Relationship Id="rId25" Type="http://schemas.openxmlformats.org/officeDocument/2006/relationships/hyperlink" Target="https://www.nice.org.uk/guidance/ta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s://www.gov.uk/motor-neurone-disease-and-driv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 TargetMode="External"/><Relationship Id="rId24" Type="http://schemas.openxmlformats.org/officeDocument/2006/relationships/hyperlink" Target="https://www.medicines.org.uk/emc/search?q=riluzol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hyperlink" Target="https://www.nhs.uk/conditions/low-white-blood-cell-count/" TargetMode="External"/><Relationship Id="rId28" Type="http://schemas.openxmlformats.org/officeDocument/2006/relationships/hyperlink" Target="https://www.medicinescomplete.com/"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s://www.gov.uk/driving-medical-condition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medicines.org.uk/emc" TargetMode="External"/><Relationship Id="rId22" Type="http://schemas.openxmlformats.org/officeDocument/2006/relationships/hyperlink" Target="https://www.mndscotland.org.uk/media/1824/22-riluzole-2017.pdf" TargetMode="External"/><Relationship Id="rId27" Type="http://schemas.openxmlformats.org/officeDocument/2006/relationships/hyperlink" Target="https://www.medicines.org.uk/emc/product/1101/smpc%20on%2021/05/21" TargetMode="External"/><Relationship Id="rId30" Type="http://schemas.openxmlformats.org/officeDocument/2006/relationships/footer" Target="footer1.xml"/><Relationship Id="rId8"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KENNY, Angela (NHS HERTFORDSHIRE AND WEST ESSEX ICB - 07H)</cp:lastModifiedBy>
  <cp:revision>2</cp:revision>
  <cp:lastPrinted>2020-09-07T12:45:00Z</cp:lastPrinted>
  <dcterms:created xsi:type="dcterms:W3CDTF">2024-05-15T15:35:00Z</dcterms:created>
  <dcterms:modified xsi:type="dcterms:W3CDTF">2024-05-15T15:35:00Z</dcterms:modified>
</cp:coreProperties>
</file>