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2A35" w14:textId="1398B926" w:rsidR="003D24A5" w:rsidRPr="0047183A" w:rsidRDefault="00DF7D6C" w:rsidP="003F5A4C">
      <w:pPr>
        <w:jc w:val="center"/>
        <w:rPr>
          <w:b/>
          <w:bCs/>
          <w:sz w:val="28"/>
          <w:szCs w:val="28"/>
          <w:u w:val="single"/>
        </w:rPr>
      </w:pPr>
      <w:r w:rsidRPr="0047183A">
        <w:rPr>
          <w:b/>
          <w:bCs/>
          <w:sz w:val="28"/>
          <w:szCs w:val="28"/>
          <w:u w:val="single"/>
        </w:rPr>
        <w:t xml:space="preserve">Biologic and </w:t>
      </w:r>
      <w:r w:rsidR="0047183A" w:rsidRPr="0047183A">
        <w:rPr>
          <w:b/>
          <w:bCs/>
          <w:sz w:val="28"/>
          <w:szCs w:val="28"/>
          <w:u w:val="single"/>
        </w:rPr>
        <w:t>B</w:t>
      </w:r>
      <w:r w:rsidRPr="0047183A">
        <w:rPr>
          <w:b/>
          <w:bCs/>
          <w:sz w:val="28"/>
          <w:szCs w:val="28"/>
          <w:u w:val="single"/>
        </w:rPr>
        <w:t xml:space="preserve">iosimilar </w:t>
      </w:r>
      <w:r w:rsidR="0047183A" w:rsidRPr="0047183A">
        <w:rPr>
          <w:b/>
          <w:bCs/>
          <w:sz w:val="28"/>
          <w:szCs w:val="28"/>
          <w:u w:val="single"/>
        </w:rPr>
        <w:t>M</w:t>
      </w:r>
      <w:r w:rsidRPr="0047183A">
        <w:rPr>
          <w:b/>
          <w:bCs/>
          <w:sz w:val="28"/>
          <w:szCs w:val="28"/>
          <w:u w:val="single"/>
        </w:rPr>
        <w:t xml:space="preserve">edicines – </w:t>
      </w:r>
      <w:r w:rsidR="0047183A" w:rsidRPr="0047183A">
        <w:rPr>
          <w:b/>
          <w:bCs/>
          <w:sz w:val="28"/>
          <w:szCs w:val="28"/>
          <w:u w:val="single"/>
        </w:rPr>
        <w:t>I</w:t>
      </w:r>
      <w:r w:rsidRPr="0047183A">
        <w:rPr>
          <w:b/>
          <w:bCs/>
          <w:sz w:val="28"/>
          <w:szCs w:val="28"/>
          <w:u w:val="single"/>
        </w:rPr>
        <w:t xml:space="preserve">nformation </w:t>
      </w:r>
      <w:r w:rsidR="0047183A" w:rsidRPr="0047183A">
        <w:rPr>
          <w:b/>
          <w:bCs/>
          <w:sz w:val="28"/>
          <w:szCs w:val="28"/>
          <w:u w:val="single"/>
        </w:rPr>
        <w:t>f</w:t>
      </w:r>
      <w:r w:rsidRPr="0047183A">
        <w:rPr>
          <w:b/>
          <w:bCs/>
          <w:sz w:val="28"/>
          <w:szCs w:val="28"/>
          <w:u w:val="single"/>
        </w:rPr>
        <w:t xml:space="preserve">or </w:t>
      </w:r>
      <w:r w:rsidR="0047183A" w:rsidRPr="0047183A">
        <w:rPr>
          <w:b/>
          <w:bCs/>
          <w:sz w:val="28"/>
          <w:szCs w:val="28"/>
          <w:u w:val="single"/>
        </w:rPr>
        <w:t>P</w:t>
      </w:r>
      <w:r w:rsidRPr="0047183A">
        <w:rPr>
          <w:b/>
          <w:bCs/>
          <w:sz w:val="28"/>
          <w:szCs w:val="28"/>
          <w:u w:val="single"/>
        </w:rPr>
        <w:t>atients</w:t>
      </w:r>
    </w:p>
    <w:p w14:paraId="2260DB1E" w14:textId="540B5319" w:rsidR="008E41B2" w:rsidRPr="008E41B2" w:rsidRDefault="008E41B2" w:rsidP="008E41B2">
      <w:pPr>
        <w:spacing w:after="240"/>
      </w:pPr>
      <w:r w:rsidRPr="008E41B2">
        <w:t xml:space="preserve">This </w:t>
      </w:r>
      <w:r>
        <w:t xml:space="preserve">information </w:t>
      </w:r>
      <w:r w:rsidRPr="008E41B2">
        <w:t xml:space="preserve">has been developed </w:t>
      </w:r>
      <w:r>
        <w:t xml:space="preserve">to provide </w:t>
      </w:r>
      <w:r w:rsidRPr="008E41B2">
        <w:t>information for patients</w:t>
      </w:r>
      <w:r>
        <w:t xml:space="preserve"> starting a biologic or biosimilar</w:t>
      </w:r>
      <w:r w:rsidR="00D408B1">
        <w:t xml:space="preserve"> medicine</w:t>
      </w:r>
      <w:r>
        <w:t xml:space="preserve">, </w:t>
      </w:r>
      <w:r w:rsidRPr="008E41B2">
        <w:t>including what they are and switching treatment.</w:t>
      </w:r>
    </w:p>
    <w:p w14:paraId="2C076344" w14:textId="46360B6B" w:rsidR="00DF7D6C" w:rsidRPr="003F5A4C" w:rsidRDefault="00DF7D6C" w:rsidP="00761C18">
      <w:pPr>
        <w:spacing w:after="80"/>
        <w:rPr>
          <w:b/>
          <w:bCs/>
        </w:rPr>
      </w:pPr>
      <w:r w:rsidRPr="003F5A4C">
        <w:rPr>
          <w:b/>
          <w:bCs/>
        </w:rPr>
        <w:t>What is a biologic medicine</w:t>
      </w:r>
      <w:r w:rsidR="003F5A4C" w:rsidRPr="003F5A4C">
        <w:rPr>
          <w:b/>
          <w:bCs/>
        </w:rPr>
        <w:t>?</w:t>
      </w:r>
    </w:p>
    <w:p w14:paraId="1B925713" w14:textId="762E4193" w:rsidR="00441CC6" w:rsidRDefault="00DF7D6C" w:rsidP="005A3D1E">
      <w:r>
        <w:t xml:space="preserve">Biologic (sometimes known as biological) medicines </w:t>
      </w:r>
      <w:r w:rsidR="00D408B1">
        <w:t>are</w:t>
      </w:r>
      <w:r w:rsidR="00260A9C">
        <w:t xml:space="preserve"> different to</w:t>
      </w:r>
      <w:r w:rsidR="00D408B1">
        <w:t xml:space="preserve"> commonly used </w:t>
      </w:r>
      <w:r w:rsidR="00D408B1" w:rsidRPr="00D408B1">
        <w:t>chemically made medicine</w:t>
      </w:r>
      <w:r w:rsidR="00D408B1">
        <w:t>s</w:t>
      </w:r>
      <w:r w:rsidR="004153FA">
        <w:t xml:space="preserve"> such as paracetamol</w:t>
      </w:r>
      <w:r w:rsidR="00D408B1" w:rsidRPr="00D408B1">
        <w:t>.</w:t>
      </w:r>
      <w:r w:rsidR="00D408B1">
        <w:t xml:space="preserve"> Biologic medicines </w:t>
      </w:r>
      <w:r w:rsidR="002F7E0C" w:rsidRPr="002F7E0C">
        <w:t>are complex</w:t>
      </w:r>
      <w:r w:rsidR="00F955A2">
        <w:t xml:space="preserve">, and often expensive, </w:t>
      </w:r>
      <w:r w:rsidR="002F7E0C" w:rsidRPr="002F7E0C">
        <w:t xml:space="preserve">medicines made or derived from a biological source. </w:t>
      </w:r>
      <w:r w:rsidR="002F7E0C">
        <w:t>The</w:t>
      </w:r>
      <w:r w:rsidR="00B91D3D">
        <w:t>se medicines</w:t>
      </w:r>
      <w:r w:rsidR="002F7E0C">
        <w:t xml:space="preserve"> </w:t>
      </w:r>
      <w:r>
        <w:t>have been used</w:t>
      </w:r>
      <w:r w:rsidR="002F7E0C">
        <w:t xml:space="preserve"> </w:t>
      </w:r>
      <w:r>
        <w:t xml:space="preserve">for many years in the treatment of diseases </w:t>
      </w:r>
      <w:r w:rsidR="00B91D3D">
        <w:t>including</w:t>
      </w:r>
      <w:r w:rsidR="002F7E0C">
        <w:t xml:space="preserve"> psoriasis, </w:t>
      </w:r>
      <w:r>
        <w:t xml:space="preserve">rheumatoid arthritis, Crohn’s disease, ulcerative </w:t>
      </w:r>
      <w:proofErr w:type="gramStart"/>
      <w:r>
        <w:t>colitis</w:t>
      </w:r>
      <w:proofErr w:type="gramEnd"/>
      <w:r>
        <w:t xml:space="preserve"> and diabetes (insulin is a biologic medicine). </w:t>
      </w:r>
    </w:p>
    <w:p w14:paraId="15E0C072" w14:textId="148AC4CA" w:rsidR="00DF7D6C" w:rsidRDefault="00DF7D6C">
      <w:r>
        <w:t xml:space="preserve">All </w:t>
      </w:r>
      <w:r w:rsidR="004A0FE1">
        <w:t xml:space="preserve">new </w:t>
      </w:r>
      <w:r>
        <w:t xml:space="preserve">medicines made by pharmaceutical companies have a patent that lasts </w:t>
      </w:r>
      <w:proofErr w:type="gramStart"/>
      <w:r>
        <w:t>a number of</w:t>
      </w:r>
      <w:proofErr w:type="gramEnd"/>
      <w:r>
        <w:t xml:space="preserve"> years. The patent </w:t>
      </w:r>
      <w:r w:rsidR="00B91D3D">
        <w:t>allows</w:t>
      </w:r>
      <w:r>
        <w:t xml:space="preserve"> only the company wh</w:t>
      </w:r>
      <w:r w:rsidR="004A19BF">
        <w:t>ich</w:t>
      </w:r>
      <w:r>
        <w:t xml:space="preserve"> </w:t>
      </w:r>
      <w:r w:rsidR="00F955A2">
        <w:t xml:space="preserve">originally developed </w:t>
      </w:r>
      <w:r>
        <w:t>the medicine</w:t>
      </w:r>
      <w:r w:rsidR="00B91D3D">
        <w:t xml:space="preserve"> </w:t>
      </w:r>
      <w:r>
        <w:t>to</w:t>
      </w:r>
      <w:r w:rsidR="00B91D3D">
        <w:t xml:space="preserve"> provide it for use on the NHS</w:t>
      </w:r>
      <w:r>
        <w:t>. When the patent on</w:t>
      </w:r>
      <w:r w:rsidR="00B91D3D">
        <w:t xml:space="preserve"> an</w:t>
      </w:r>
      <w:r w:rsidR="00D51061">
        <w:t xml:space="preserve"> </w:t>
      </w:r>
      <w:r>
        <w:t xml:space="preserve">original biologic has ended, other pharmaceutical companies are able to make a newer version </w:t>
      </w:r>
      <w:r w:rsidR="00B91D3D">
        <w:t xml:space="preserve">which is </w:t>
      </w:r>
      <w:r>
        <w:t>called a biosimilar.</w:t>
      </w:r>
    </w:p>
    <w:p w14:paraId="6932CA80" w14:textId="71541C7A" w:rsidR="00C34E0F" w:rsidRDefault="00C34E0F">
      <w:r w:rsidRPr="00C34E0F">
        <w:t>Biosimilars are not the same as generic medicines which are exact copies of a chemically made medicine.</w:t>
      </w:r>
    </w:p>
    <w:p w14:paraId="3C15626E" w14:textId="57FF5BA6" w:rsidR="00DF7D6C" w:rsidRPr="003F5A4C" w:rsidRDefault="00DF7D6C" w:rsidP="00761C18">
      <w:pPr>
        <w:spacing w:after="80"/>
        <w:rPr>
          <w:b/>
          <w:bCs/>
        </w:rPr>
      </w:pPr>
      <w:r w:rsidRPr="003F5A4C">
        <w:rPr>
          <w:b/>
          <w:bCs/>
        </w:rPr>
        <w:t>What is a biosimilar medicine</w:t>
      </w:r>
      <w:r w:rsidR="003F5A4C" w:rsidRPr="003F5A4C">
        <w:rPr>
          <w:b/>
          <w:bCs/>
        </w:rPr>
        <w:t>?</w:t>
      </w:r>
    </w:p>
    <w:p w14:paraId="539873B2" w14:textId="64F66103" w:rsidR="00DF7D6C" w:rsidRDefault="00DF7D6C">
      <w:r>
        <w:t>Biosimilar</w:t>
      </w:r>
      <w:r w:rsidR="0047183A">
        <w:t xml:space="preserve"> medicines</w:t>
      </w:r>
      <w:r>
        <w:t xml:space="preserve"> are new versions of the original biologic. They are very similar in terms of quality, </w:t>
      </w:r>
      <w:proofErr w:type="gramStart"/>
      <w:r>
        <w:t>safety</w:t>
      </w:r>
      <w:proofErr w:type="gramEnd"/>
      <w:r>
        <w:t xml:space="preserve"> and clinical effectiveness to the original biologic. They work in the same way.</w:t>
      </w:r>
    </w:p>
    <w:p w14:paraId="157A81F7" w14:textId="46EC760D" w:rsidR="00DF7D6C" w:rsidRDefault="00DF7D6C">
      <w:r>
        <w:t xml:space="preserve">There are strict rules to make sure </w:t>
      </w:r>
      <w:r w:rsidR="004A19BF">
        <w:t xml:space="preserve">that </w:t>
      </w:r>
      <w:r>
        <w:t>biosimilars are clinically effective and of a high quality. Biosimilars are fully tested</w:t>
      </w:r>
      <w:r w:rsidR="00B91D3D">
        <w:t xml:space="preserve"> </w:t>
      </w:r>
      <w:r w:rsidR="00B91D3D" w:rsidRPr="00B91D3D">
        <w:t>by the pharmaceutical companies that develop them</w:t>
      </w:r>
      <w:r w:rsidR="00B91D3D">
        <w:t xml:space="preserve"> </w:t>
      </w:r>
      <w:r>
        <w:t>to show they work</w:t>
      </w:r>
      <w:r w:rsidR="00B91D3D">
        <w:t xml:space="preserve"> </w:t>
      </w:r>
      <w:r>
        <w:t>as well and are</w:t>
      </w:r>
      <w:r w:rsidR="00B91D3D">
        <w:t xml:space="preserve"> </w:t>
      </w:r>
      <w:r>
        <w:t>as safe as the original biologics</w:t>
      </w:r>
      <w:r w:rsidR="00517BDE">
        <w:t>,</w:t>
      </w:r>
      <w:r w:rsidR="00A03B37">
        <w:t xml:space="preserve"> before being authorised for use by the </w:t>
      </w:r>
      <w:r w:rsidR="00A03B37" w:rsidRPr="00A03B37">
        <w:t>UK medicines regulator</w:t>
      </w:r>
      <w:r w:rsidR="00A03B37">
        <w:t>.</w:t>
      </w:r>
    </w:p>
    <w:p w14:paraId="7BCDC8BE" w14:textId="301FF768" w:rsidR="00775547" w:rsidRDefault="00441CC6" w:rsidP="00441CC6">
      <w:r>
        <w:t>Once authorised, a biosimilar product is considered</w:t>
      </w:r>
      <w:r w:rsidR="00A03B37">
        <w:t xml:space="preserve"> </w:t>
      </w:r>
      <w:r w:rsidR="00A03B37" w:rsidRPr="00A03B37">
        <w:t>therapeutically equivalent</w:t>
      </w:r>
      <w:r>
        <w:t xml:space="preserve"> </w:t>
      </w:r>
      <w:r w:rsidR="00A03B37">
        <w:t xml:space="preserve">and </w:t>
      </w:r>
      <w:r>
        <w:t xml:space="preserve">interchangeable with the original biologic. </w:t>
      </w:r>
      <w:r w:rsidR="0047183A">
        <w:t>Different b</w:t>
      </w:r>
      <w:r>
        <w:t>iosimilars</w:t>
      </w:r>
      <w:r w:rsidR="00AC7D4C">
        <w:t xml:space="preserve"> made by different pharmaceutical companies </w:t>
      </w:r>
      <w:r>
        <w:t>of the same original biologic medicine</w:t>
      </w:r>
      <w:r w:rsidR="00AC7D4C">
        <w:t>,</w:t>
      </w:r>
      <w:r>
        <w:t xml:space="preserve"> are also considered interchangeable.</w:t>
      </w:r>
      <w:r w:rsidR="00094A9F">
        <w:t xml:space="preserve"> This is supported by the UK and European </w:t>
      </w:r>
      <w:r w:rsidR="00094A9F" w:rsidRPr="00094A9F">
        <w:t>medicines regulator</w:t>
      </w:r>
      <w:r w:rsidR="00094A9F">
        <w:t>s.</w:t>
      </w:r>
    </w:p>
    <w:p w14:paraId="27471100" w14:textId="173DCB36" w:rsidR="00DF7D6C" w:rsidRPr="003F5A4C" w:rsidRDefault="00DF7D6C" w:rsidP="00761C18">
      <w:pPr>
        <w:spacing w:after="80"/>
        <w:rPr>
          <w:b/>
          <w:bCs/>
        </w:rPr>
      </w:pPr>
      <w:r w:rsidRPr="003F5A4C">
        <w:rPr>
          <w:b/>
          <w:bCs/>
        </w:rPr>
        <w:t>Why are biosimilars important</w:t>
      </w:r>
      <w:r w:rsidR="00511125" w:rsidRPr="003F5A4C">
        <w:rPr>
          <w:b/>
          <w:bCs/>
        </w:rPr>
        <w:t xml:space="preserve"> to</w:t>
      </w:r>
      <w:r w:rsidRPr="003F5A4C">
        <w:rPr>
          <w:b/>
          <w:bCs/>
        </w:rPr>
        <w:t xml:space="preserve"> the NHS? </w:t>
      </w:r>
    </w:p>
    <w:p w14:paraId="375E617B" w14:textId="045A58D3" w:rsidR="00DF7D6C" w:rsidRDefault="00DF7D6C">
      <w:r>
        <w:t xml:space="preserve">Biosimilars are </w:t>
      </w:r>
      <w:r w:rsidR="002E2AAF">
        <w:t xml:space="preserve">usually </w:t>
      </w:r>
      <w:r>
        <w:t>less expensive for the NHS to</w:t>
      </w:r>
      <w:r w:rsidR="00627D02">
        <w:t xml:space="preserve"> fund</w:t>
      </w:r>
      <w:r>
        <w:t xml:space="preserve">. </w:t>
      </w:r>
      <w:r w:rsidR="004A19BF">
        <w:t>As m</w:t>
      </w:r>
      <w:r>
        <w:t>any pharmaceutical companies are now making biosimilars,</w:t>
      </w:r>
      <w:r w:rsidR="004A19BF">
        <w:t xml:space="preserve"> </w:t>
      </w:r>
      <w:r>
        <w:t xml:space="preserve">there is competition between companies, </w:t>
      </w:r>
      <w:r w:rsidR="00517BDE">
        <w:t>which</w:t>
      </w:r>
      <w:r>
        <w:t xml:space="preserve"> helps to lower the cost. </w:t>
      </w:r>
      <w:r w:rsidR="00A03B37">
        <w:t>By offering biosimilar medicines</w:t>
      </w:r>
      <w:r w:rsidR="00517BDE">
        <w:t>,</w:t>
      </w:r>
      <w:r w:rsidR="00A03B37">
        <w:t xml:space="preserve"> </w:t>
      </w:r>
      <w:r>
        <w:t>patients</w:t>
      </w:r>
      <w:r w:rsidR="00A03B37">
        <w:t xml:space="preserve"> receive treatment that is </w:t>
      </w:r>
      <w:r>
        <w:t>effective and</w:t>
      </w:r>
      <w:r w:rsidR="00A03B37">
        <w:t xml:space="preserve"> safe while </w:t>
      </w:r>
      <w:r>
        <w:t xml:space="preserve">also </w:t>
      </w:r>
      <w:r w:rsidR="002E2AAF">
        <w:t xml:space="preserve">being more </w:t>
      </w:r>
      <w:r w:rsidR="002E2AAF" w:rsidRPr="002E2AAF">
        <w:t>cost effective</w:t>
      </w:r>
      <w:r w:rsidR="002E2AAF">
        <w:t xml:space="preserve"> for </w:t>
      </w:r>
      <w:r>
        <w:t>the NHS.</w:t>
      </w:r>
      <w:r w:rsidR="00094A9F" w:rsidRPr="00094A9F">
        <w:t xml:space="preserve"> </w:t>
      </w:r>
      <w:r w:rsidR="00627D02">
        <w:t>As the cost of b</w:t>
      </w:r>
      <w:r w:rsidR="00094A9F" w:rsidRPr="00094A9F">
        <w:t xml:space="preserve">iosimilars </w:t>
      </w:r>
      <w:r w:rsidR="00627D02">
        <w:t xml:space="preserve">is lower, this </w:t>
      </w:r>
      <w:r w:rsidR="00094A9F" w:rsidRPr="00094A9F">
        <w:t>allow</w:t>
      </w:r>
      <w:r w:rsidR="00627D02">
        <w:t>s</w:t>
      </w:r>
      <w:r w:rsidR="00094A9F" w:rsidRPr="00094A9F">
        <w:t xml:space="preserve"> more patients to access</w:t>
      </w:r>
      <w:r w:rsidR="00627D02">
        <w:t xml:space="preserve"> </w:t>
      </w:r>
      <w:r w:rsidR="00094A9F" w:rsidRPr="00094A9F">
        <w:t>treatment sooner,</w:t>
      </w:r>
      <w:r w:rsidR="00517BDE">
        <w:t xml:space="preserve"> </w:t>
      </w:r>
      <w:r w:rsidR="00094A9F" w:rsidRPr="00094A9F">
        <w:t xml:space="preserve">release funding for </w:t>
      </w:r>
      <w:r w:rsidR="00094A9F">
        <w:t xml:space="preserve">new </w:t>
      </w:r>
      <w:r w:rsidR="00094A9F" w:rsidRPr="00094A9F">
        <w:t>treatments and improve pathways of care.</w:t>
      </w:r>
    </w:p>
    <w:p w14:paraId="71347629" w14:textId="6BF79835" w:rsidR="00D05B04" w:rsidRDefault="00775547" w:rsidP="000C27C2">
      <w:r w:rsidRPr="00775547">
        <w:t>Biosimilars</w:t>
      </w:r>
      <w:r w:rsidR="00761C18">
        <w:t xml:space="preserve"> have been </w:t>
      </w:r>
      <w:r w:rsidRPr="00775547">
        <w:t>widely used</w:t>
      </w:r>
      <w:r w:rsidR="00094A9F">
        <w:t xml:space="preserve"> by </w:t>
      </w:r>
      <w:r w:rsidR="007A5865">
        <w:t xml:space="preserve">hospitals in Hertfordshire and West Essex, </w:t>
      </w:r>
      <w:r w:rsidR="00094A9F">
        <w:t>other hospitals i</w:t>
      </w:r>
      <w:r w:rsidRPr="00775547">
        <w:t>n the UK</w:t>
      </w:r>
      <w:r w:rsidR="004A19BF">
        <w:t>,</w:t>
      </w:r>
      <w:r w:rsidRPr="00775547">
        <w:t xml:space="preserve"> </w:t>
      </w:r>
      <w:proofErr w:type="gramStart"/>
      <w:r w:rsidRPr="00775547">
        <w:t xml:space="preserve">and </w:t>
      </w:r>
      <w:r w:rsidR="007A5865">
        <w:t>also</w:t>
      </w:r>
      <w:proofErr w:type="gramEnd"/>
      <w:r w:rsidR="007A5865">
        <w:t xml:space="preserve"> </w:t>
      </w:r>
      <w:r w:rsidRPr="00775547">
        <w:t>internationally</w:t>
      </w:r>
      <w:r w:rsidR="004A19BF">
        <w:t xml:space="preserve">, </w:t>
      </w:r>
      <w:r w:rsidRPr="00775547">
        <w:t>for a</w:t>
      </w:r>
      <w:r w:rsidR="00094A9F">
        <w:t xml:space="preserve"> </w:t>
      </w:r>
      <w:r w:rsidRPr="00775547">
        <w:t>number of conditions</w:t>
      </w:r>
      <w:r w:rsidR="00761C18">
        <w:t xml:space="preserve"> for many years</w:t>
      </w:r>
      <w:r w:rsidRPr="00775547">
        <w:t>.</w:t>
      </w:r>
      <w:r w:rsidR="002F7E0C">
        <w:t xml:space="preserve"> </w:t>
      </w:r>
      <w:r w:rsidR="002F7E0C" w:rsidRPr="002F7E0C">
        <w:t>Switching patients from one product to another (</w:t>
      </w:r>
      <w:r w:rsidR="002F7E0C">
        <w:t>original biologic</w:t>
      </w:r>
      <w:r w:rsidR="002F7E0C" w:rsidRPr="002F7E0C">
        <w:t xml:space="preserve"> or biosimilar) has become clinical practice.</w:t>
      </w:r>
    </w:p>
    <w:p w14:paraId="65DC3D9C" w14:textId="77777777" w:rsidR="003657A5" w:rsidRDefault="003657A5" w:rsidP="000C27C2"/>
    <w:p w14:paraId="715E21C8" w14:textId="77777777" w:rsidR="003657A5" w:rsidRDefault="003657A5" w:rsidP="000C27C2"/>
    <w:p w14:paraId="44C23013" w14:textId="4D347AF7" w:rsidR="00DF7D6C" w:rsidRPr="000C27C2" w:rsidRDefault="00DF7D6C" w:rsidP="000C27C2">
      <w:r w:rsidRPr="003F5A4C">
        <w:rPr>
          <w:b/>
          <w:bCs/>
        </w:rPr>
        <w:lastRenderedPageBreak/>
        <w:t>What will happen when</w:t>
      </w:r>
      <w:r w:rsidR="00272D47" w:rsidRPr="003F5A4C">
        <w:rPr>
          <w:b/>
          <w:bCs/>
        </w:rPr>
        <w:t xml:space="preserve"> </w:t>
      </w:r>
      <w:r w:rsidRPr="003F5A4C">
        <w:rPr>
          <w:b/>
          <w:bCs/>
        </w:rPr>
        <w:t>a biologic or biosimilar</w:t>
      </w:r>
      <w:r w:rsidR="00272D47" w:rsidRPr="003F5A4C">
        <w:rPr>
          <w:b/>
          <w:bCs/>
        </w:rPr>
        <w:t xml:space="preserve"> is </w:t>
      </w:r>
      <w:r w:rsidR="004A0FE1">
        <w:rPr>
          <w:b/>
          <w:bCs/>
        </w:rPr>
        <w:t>started</w:t>
      </w:r>
      <w:r w:rsidRPr="003F5A4C">
        <w:rPr>
          <w:b/>
          <w:bCs/>
        </w:rPr>
        <w:t>?</w:t>
      </w:r>
    </w:p>
    <w:p w14:paraId="6AC60E2A" w14:textId="42998BB8" w:rsidR="002F7E0C" w:rsidRDefault="00272D47">
      <w:r>
        <w:t xml:space="preserve">Before </w:t>
      </w:r>
      <w:r w:rsidR="00DF7D6C">
        <w:t xml:space="preserve">you </w:t>
      </w:r>
      <w:r w:rsidR="004A0FE1">
        <w:t>start</w:t>
      </w:r>
      <w:r w:rsidR="004A19BF">
        <w:t xml:space="preserve"> </w:t>
      </w:r>
      <w:r w:rsidR="00DF7D6C">
        <w:t xml:space="preserve">a new biologic or biosimilar your specialist will </w:t>
      </w:r>
      <w:r w:rsidR="00511125">
        <w:t>ensure this is appropriate for you</w:t>
      </w:r>
      <w:r w:rsidR="00747C08">
        <w:t>. T</w:t>
      </w:r>
      <w:r w:rsidR="00DF7D6C">
        <w:t>he</w:t>
      </w:r>
      <w:r>
        <w:t xml:space="preserve"> advantages and disadvantages of treatment </w:t>
      </w:r>
      <w:r w:rsidR="00CB57BF">
        <w:t>will be explained</w:t>
      </w:r>
      <w:r w:rsidR="007A5865">
        <w:t>,</w:t>
      </w:r>
      <w:r w:rsidR="00CB57BF">
        <w:t xml:space="preserve"> </w:t>
      </w:r>
      <w:r>
        <w:t>and a joint decision</w:t>
      </w:r>
      <w:r w:rsidR="00CB57BF">
        <w:t xml:space="preserve"> </w:t>
      </w:r>
      <w:r>
        <w:t>made on suitable treatment.</w:t>
      </w:r>
      <w:r w:rsidR="002F7E0C">
        <w:t xml:space="preserve"> </w:t>
      </w:r>
    </w:p>
    <w:p w14:paraId="3F02D840" w14:textId="6AA722BA" w:rsidR="00DF7D6C" w:rsidRDefault="002F7E0C">
      <w:r>
        <w:t>If more than one treatment is considered suitable the least expensive will be used.</w:t>
      </w:r>
      <w:r w:rsidR="00A55F04">
        <w:t xml:space="preserve"> This will most</w:t>
      </w:r>
      <w:r w:rsidR="0047183A">
        <w:t xml:space="preserve"> often</w:t>
      </w:r>
      <w:r w:rsidR="00A55F04">
        <w:t xml:space="preserve"> be the best value biosimilar medicine</w:t>
      </w:r>
      <w:r w:rsidR="007A5865">
        <w:t xml:space="preserve"> available at the time</w:t>
      </w:r>
      <w:r w:rsidR="00A55F04">
        <w:t>.</w:t>
      </w:r>
    </w:p>
    <w:p w14:paraId="7917D085" w14:textId="795A30AC" w:rsidR="00247FF5" w:rsidRPr="003F5A4C" w:rsidRDefault="00247FF5" w:rsidP="00761C18">
      <w:pPr>
        <w:spacing w:after="80"/>
        <w:rPr>
          <w:b/>
          <w:bCs/>
        </w:rPr>
      </w:pPr>
      <w:r w:rsidRPr="003F5A4C">
        <w:rPr>
          <w:b/>
          <w:bCs/>
        </w:rPr>
        <w:t>Will I be asked to change to a biosimilar in the future?</w:t>
      </w:r>
    </w:p>
    <w:p w14:paraId="74B2C649" w14:textId="1C7467CA" w:rsidR="00ED085F" w:rsidRDefault="005D3CAD">
      <w:r>
        <w:t>When your treatment with a biologic or biosimilar is started, y</w:t>
      </w:r>
      <w:r w:rsidR="00ED085F" w:rsidRPr="00ED085F">
        <w:t xml:space="preserve">our specialist will discuss and seek </w:t>
      </w:r>
      <w:r w:rsidR="00C03414">
        <w:t xml:space="preserve">your </w:t>
      </w:r>
      <w:r w:rsidR="00ED085F" w:rsidRPr="00ED085F">
        <w:t>consent</w:t>
      </w:r>
      <w:r w:rsidR="00C03414">
        <w:t xml:space="preserve"> </w:t>
      </w:r>
      <w:r w:rsidR="00ED085F" w:rsidRPr="00ED085F">
        <w:t xml:space="preserve">for </w:t>
      </w:r>
      <w:r>
        <w:t xml:space="preserve">possible </w:t>
      </w:r>
      <w:r w:rsidR="00ED085F" w:rsidRPr="00ED085F">
        <w:t xml:space="preserve">future switches to a biosimilar or </w:t>
      </w:r>
      <w:r w:rsidR="00C03414">
        <w:t xml:space="preserve">to </w:t>
      </w:r>
      <w:r w:rsidR="00ED085F" w:rsidRPr="00ED085F">
        <w:t>an alternative biosimilar. Your agreement ensures that you will continue to receive an effective and safe treatment</w:t>
      </w:r>
      <w:r w:rsidR="00517BDE">
        <w:t>,</w:t>
      </w:r>
      <w:r w:rsidR="00ED085F" w:rsidRPr="00ED085F">
        <w:t xml:space="preserve"> while supporting savings for the NHS </w:t>
      </w:r>
      <w:r w:rsidR="00C03414">
        <w:t xml:space="preserve">which </w:t>
      </w:r>
      <w:r w:rsidR="00ED085F" w:rsidRPr="00ED085F">
        <w:t>could be used to treat more patients.</w:t>
      </w:r>
    </w:p>
    <w:p w14:paraId="66B5D1D0" w14:textId="0D7B8786" w:rsidR="007E3077" w:rsidRDefault="00272D47" w:rsidP="007E3077">
      <w:pPr>
        <w:spacing w:after="0"/>
      </w:pPr>
      <w:r>
        <w:t xml:space="preserve">You will be contacted before any </w:t>
      </w:r>
      <w:r w:rsidR="00C03414">
        <w:t xml:space="preserve">future </w:t>
      </w:r>
      <w:r>
        <w:t xml:space="preserve">switch </w:t>
      </w:r>
      <w:r w:rsidR="00CB57BF">
        <w:t>happens</w:t>
      </w:r>
      <w:r>
        <w:t xml:space="preserve"> to ensure you are</w:t>
      </w:r>
      <w:r w:rsidR="00247FF5">
        <w:t xml:space="preserve"> </w:t>
      </w:r>
      <w:r>
        <w:t>fully aware of the change</w:t>
      </w:r>
      <w:r w:rsidR="00F955A2">
        <w:t>. This will</w:t>
      </w:r>
      <w:r w:rsidR="007422CF">
        <w:t xml:space="preserve"> includ</w:t>
      </w:r>
      <w:r w:rsidR="00F955A2">
        <w:t>e</w:t>
      </w:r>
      <w:r w:rsidR="007E3077">
        <w:t>:</w:t>
      </w:r>
      <w:r w:rsidR="007422CF">
        <w:t xml:space="preserve"> </w:t>
      </w:r>
    </w:p>
    <w:p w14:paraId="499CF2D2" w14:textId="29D2F6A0" w:rsidR="00CB57BF" w:rsidRDefault="00CB57BF" w:rsidP="00CB57BF">
      <w:pPr>
        <w:pStyle w:val="ListParagraph"/>
        <w:numPr>
          <w:ilvl w:val="0"/>
          <w:numId w:val="2"/>
        </w:numPr>
      </w:pPr>
      <w:r>
        <w:t xml:space="preserve">providing information on the new biosimilar medicine </w:t>
      </w:r>
    </w:p>
    <w:p w14:paraId="0D2A2281" w14:textId="2EC7FF61" w:rsidR="007E3077" w:rsidRDefault="00AC7D4C" w:rsidP="007E3077">
      <w:pPr>
        <w:pStyle w:val="ListParagraph"/>
        <w:numPr>
          <w:ilvl w:val="0"/>
          <w:numId w:val="2"/>
        </w:numPr>
      </w:pPr>
      <w:r>
        <w:t>confirm</w:t>
      </w:r>
      <w:r w:rsidR="00CB57BF">
        <w:t>ing</w:t>
      </w:r>
      <w:r>
        <w:t xml:space="preserve"> </w:t>
      </w:r>
      <w:r w:rsidR="007422CF">
        <w:t>the brand name of the new medicine</w:t>
      </w:r>
    </w:p>
    <w:p w14:paraId="59B70897" w14:textId="205B96D2" w:rsidR="007E3077" w:rsidRDefault="00272D47" w:rsidP="007E3077">
      <w:pPr>
        <w:pStyle w:val="ListParagraph"/>
        <w:numPr>
          <w:ilvl w:val="0"/>
          <w:numId w:val="2"/>
        </w:numPr>
      </w:pPr>
      <w:r>
        <w:t>when</w:t>
      </w:r>
      <w:r w:rsidR="007422CF">
        <w:t xml:space="preserve"> the switch </w:t>
      </w:r>
      <w:r>
        <w:t xml:space="preserve">will </w:t>
      </w:r>
      <w:r w:rsidR="005D3CAD">
        <w:t>take place</w:t>
      </w:r>
    </w:p>
    <w:p w14:paraId="1DE07B65" w14:textId="28EC1F2D" w:rsidR="007E3077" w:rsidRDefault="00511125" w:rsidP="007E3077">
      <w:pPr>
        <w:pStyle w:val="ListParagraph"/>
        <w:numPr>
          <w:ilvl w:val="0"/>
          <w:numId w:val="2"/>
        </w:numPr>
      </w:pPr>
      <w:r>
        <w:t>support if you have any questions</w:t>
      </w:r>
      <w:r w:rsidR="007A5865">
        <w:t>.</w:t>
      </w:r>
    </w:p>
    <w:p w14:paraId="33250A1C" w14:textId="2067B8FA" w:rsidR="00094A9F" w:rsidRDefault="00094A9F">
      <w:r>
        <w:t>Within ho</w:t>
      </w:r>
      <w:r w:rsidR="00A520AF">
        <w:t>spital</w:t>
      </w:r>
      <w:r w:rsidR="007A5865">
        <w:t xml:space="preserve">s in Hertfordshire and West Essex </w:t>
      </w:r>
      <w:r w:rsidR="00A520AF">
        <w:t>and other hospitals across the UK, m</w:t>
      </w:r>
      <w:r>
        <w:t xml:space="preserve">any patients have been successfully </w:t>
      </w:r>
      <w:r w:rsidR="004A0FE1">
        <w:t>started</w:t>
      </w:r>
      <w:r>
        <w:t xml:space="preserve"> on, </w:t>
      </w:r>
      <w:r w:rsidR="00A520AF">
        <w:t>or switched to</w:t>
      </w:r>
      <w:r w:rsidR="00AC7D4C">
        <w:t>,</w:t>
      </w:r>
      <w:r w:rsidR="00A520AF">
        <w:t xml:space="preserve"> biosimilar medicines.</w:t>
      </w:r>
    </w:p>
    <w:p w14:paraId="1A9D5D76" w14:textId="17E5557F" w:rsidR="00272D47" w:rsidRPr="003F5A4C" w:rsidRDefault="00272D47" w:rsidP="00761C18">
      <w:pPr>
        <w:spacing w:after="80"/>
        <w:rPr>
          <w:b/>
          <w:bCs/>
        </w:rPr>
      </w:pPr>
      <w:r w:rsidRPr="003F5A4C">
        <w:rPr>
          <w:b/>
          <w:bCs/>
        </w:rPr>
        <w:t>Will I notice any difference with the new biosimilar</w:t>
      </w:r>
      <w:r w:rsidR="00247FF5" w:rsidRPr="003F5A4C">
        <w:rPr>
          <w:b/>
          <w:bCs/>
        </w:rPr>
        <w:t xml:space="preserve"> medicine</w:t>
      </w:r>
      <w:r w:rsidR="003F5A4C">
        <w:rPr>
          <w:b/>
          <w:bCs/>
        </w:rPr>
        <w:t>?</w:t>
      </w:r>
    </w:p>
    <w:p w14:paraId="6F6C4081" w14:textId="7B76C124" w:rsidR="00511125" w:rsidRDefault="00E71B64">
      <w:r>
        <w:t xml:space="preserve">The </w:t>
      </w:r>
      <w:r w:rsidR="00511125">
        <w:t xml:space="preserve">brand </w:t>
      </w:r>
      <w:r w:rsidR="00247FF5">
        <w:t>name and appearance of the</w:t>
      </w:r>
      <w:r w:rsidR="00A03B37">
        <w:t xml:space="preserve"> biosimilar</w:t>
      </w:r>
      <w:r w:rsidR="00247FF5">
        <w:t xml:space="preserve"> may be different</w:t>
      </w:r>
      <w:r>
        <w:t>, but the active substance medicine name will remain the same</w:t>
      </w:r>
      <w:r w:rsidR="00247FF5">
        <w:t xml:space="preserve">. </w:t>
      </w:r>
      <w:r w:rsidR="007422CF">
        <w:t>The</w:t>
      </w:r>
      <w:r w:rsidR="00CC4D04">
        <w:t xml:space="preserve"> biosimilar</w:t>
      </w:r>
      <w:r w:rsidR="007422CF">
        <w:t xml:space="preserve"> will be prescribed by brand name.</w:t>
      </w:r>
    </w:p>
    <w:p w14:paraId="65EA6A1E" w14:textId="46288127" w:rsidR="00511125" w:rsidRDefault="00511125">
      <w:r>
        <w:t>If the medicine</w:t>
      </w:r>
      <w:r w:rsidR="00E71B64">
        <w:t xml:space="preserve"> has been</w:t>
      </w:r>
      <w:r>
        <w:t xml:space="preserve"> delivered directly to your home</w:t>
      </w:r>
      <w:r w:rsidR="00761C18">
        <w:t>,</w:t>
      </w:r>
      <w:r>
        <w:t xml:space="preserve"> then the company </w:t>
      </w:r>
      <w:r w:rsidR="00C03414">
        <w:t xml:space="preserve">which </w:t>
      </w:r>
      <w:r w:rsidR="00761C18">
        <w:t>provides this service</w:t>
      </w:r>
      <w:r>
        <w:t xml:space="preserve"> may</w:t>
      </w:r>
      <w:r w:rsidR="00FF0A3F">
        <w:t xml:space="preserve"> change</w:t>
      </w:r>
      <w:r>
        <w:t>.</w:t>
      </w:r>
    </w:p>
    <w:p w14:paraId="374EF758" w14:textId="1785B28C" w:rsidR="00272D47" w:rsidRDefault="00247FF5">
      <w:r>
        <w:t xml:space="preserve">If there are any changes to how the </w:t>
      </w:r>
      <w:r w:rsidR="0047183A">
        <w:t xml:space="preserve">new </w:t>
      </w:r>
      <w:r w:rsidR="00CC4D04">
        <w:t xml:space="preserve">biosimilar </w:t>
      </w:r>
      <w:r>
        <w:t xml:space="preserve">medicine is </w:t>
      </w:r>
      <w:r w:rsidR="008F4FDB">
        <w:t>taken</w:t>
      </w:r>
      <w:r w:rsidR="00761C18">
        <w:t>,</w:t>
      </w:r>
      <w:r>
        <w:t xml:space="preserve"> then information will be provided to you about this.</w:t>
      </w:r>
    </w:p>
    <w:p w14:paraId="28CD3586" w14:textId="2F2F3CBA" w:rsidR="00247FF5" w:rsidRPr="00517BDE" w:rsidRDefault="00247FF5">
      <w:pPr>
        <w:rPr>
          <w:u w:val="single"/>
        </w:rPr>
      </w:pPr>
      <w:r w:rsidRPr="00517BDE">
        <w:rPr>
          <w:u w:val="single"/>
        </w:rPr>
        <w:t>You should</w:t>
      </w:r>
      <w:r w:rsidR="008F4FDB">
        <w:rPr>
          <w:u w:val="single"/>
        </w:rPr>
        <w:t xml:space="preserve"> no</w:t>
      </w:r>
      <w:r w:rsidRPr="00517BDE">
        <w:rPr>
          <w:u w:val="single"/>
        </w:rPr>
        <w:t xml:space="preserve">t notice a difference in the way your body responds to the new </w:t>
      </w:r>
      <w:r w:rsidR="00FF0A3F" w:rsidRPr="00517BDE">
        <w:rPr>
          <w:u w:val="single"/>
        </w:rPr>
        <w:t xml:space="preserve">biosimilar </w:t>
      </w:r>
      <w:r w:rsidRPr="00517BDE">
        <w:rPr>
          <w:u w:val="single"/>
        </w:rPr>
        <w:t>medicine.</w:t>
      </w:r>
    </w:p>
    <w:p w14:paraId="15E7416E" w14:textId="4509EAFE" w:rsidR="00511125" w:rsidRPr="00FF0A3F" w:rsidRDefault="00247FF5">
      <w:r w:rsidRPr="00FF0A3F">
        <w:t xml:space="preserve">If you do notice a difference, you </w:t>
      </w:r>
      <w:r w:rsidR="00AC7D4C">
        <w:t>must</w:t>
      </w:r>
      <w:r w:rsidRPr="00FF0A3F">
        <w:t xml:space="preserve"> ask your specialist for advice.</w:t>
      </w:r>
    </w:p>
    <w:p w14:paraId="5E8F0D65" w14:textId="752F2C75" w:rsidR="007422CF" w:rsidRPr="007422CF" w:rsidRDefault="007422CF" w:rsidP="00761C18">
      <w:pPr>
        <w:spacing w:after="80"/>
        <w:rPr>
          <w:b/>
          <w:bCs/>
        </w:rPr>
      </w:pPr>
      <w:r>
        <w:rPr>
          <w:b/>
          <w:bCs/>
        </w:rPr>
        <w:t>Is f</w:t>
      </w:r>
      <w:r w:rsidRPr="007422CF">
        <w:rPr>
          <w:b/>
          <w:bCs/>
        </w:rPr>
        <w:t>urther information</w:t>
      </w:r>
      <w:r>
        <w:rPr>
          <w:b/>
          <w:bCs/>
        </w:rPr>
        <w:t xml:space="preserve"> avai</w:t>
      </w:r>
      <w:r w:rsidR="00046308">
        <w:rPr>
          <w:b/>
          <w:bCs/>
        </w:rPr>
        <w:t>lable</w:t>
      </w:r>
      <w:r w:rsidR="003F5A4C">
        <w:rPr>
          <w:b/>
          <w:bCs/>
        </w:rPr>
        <w:t>?</w:t>
      </w:r>
    </w:p>
    <w:p w14:paraId="3101D214" w14:textId="77777777" w:rsidR="007422CF" w:rsidRPr="007422CF" w:rsidRDefault="007422CF" w:rsidP="0047183A">
      <w:pPr>
        <w:spacing w:after="80"/>
      </w:pPr>
      <w:r w:rsidRPr="007422CF">
        <w:t>Please refer to the following resources:</w:t>
      </w:r>
    </w:p>
    <w:p w14:paraId="7A737522" w14:textId="68F8481B" w:rsidR="00046308" w:rsidRDefault="00B308C6" w:rsidP="0047183A">
      <w:pPr>
        <w:numPr>
          <w:ilvl w:val="0"/>
          <w:numId w:val="1"/>
        </w:numPr>
        <w:spacing w:after="80"/>
      </w:pPr>
      <w:hyperlink r:id="rId7" w:history="1">
        <w:r w:rsidR="00046308" w:rsidRPr="003F5A4C">
          <w:rPr>
            <w:rStyle w:val="Hyperlink"/>
          </w:rPr>
          <w:t>NHS England guidance. What is a biosimilar medicine?</w:t>
        </w:r>
      </w:hyperlink>
    </w:p>
    <w:p w14:paraId="2DE522CE" w14:textId="374F5B6F" w:rsidR="007422CF" w:rsidRPr="007422CF" w:rsidRDefault="00B308C6" w:rsidP="0047183A">
      <w:pPr>
        <w:numPr>
          <w:ilvl w:val="0"/>
          <w:numId w:val="1"/>
        </w:numPr>
        <w:spacing w:after="80"/>
      </w:pPr>
      <w:hyperlink r:id="rId8" w:history="1">
        <w:r w:rsidR="007422CF" w:rsidRPr="007422CF">
          <w:rPr>
            <w:rStyle w:val="Hyperlink"/>
          </w:rPr>
          <w:t>The British Biosimilars Association. Facts about biosimilars, including helpful references</w:t>
        </w:r>
      </w:hyperlink>
    </w:p>
    <w:p w14:paraId="4A7514FF" w14:textId="77777777" w:rsidR="007422CF" w:rsidRPr="007422CF" w:rsidRDefault="00B308C6" w:rsidP="0047183A">
      <w:pPr>
        <w:numPr>
          <w:ilvl w:val="0"/>
          <w:numId w:val="1"/>
        </w:numPr>
        <w:spacing w:after="80"/>
      </w:pPr>
      <w:hyperlink r:id="rId9" w:history="1">
        <w:r w:rsidR="007422CF" w:rsidRPr="007422CF">
          <w:rPr>
            <w:rStyle w:val="Hyperlink"/>
          </w:rPr>
          <w:t>The Patients Association. Guide to switching to biosimilars</w:t>
        </w:r>
      </w:hyperlink>
    </w:p>
    <w:p w14:paraId="3835E915" w14:textId="2E38B416" w:rsidR="003F5A4C" w:rsidRDefault="003F5A4C">
      <w:r>
        <w:t xml:space="preserve">Your specialist may </w:t>
      </w:r>
      <w:r w:rsidR="00CC4D04">
        <w:t xml:space="preserve">also </w:t>
      </w:r>
      <w:r>
        <w:t xml:space="preserve">be able to provide </w:t>
      </w:r>
      <w:r w:rsidR="00D51061">
        <w:t xml:space="preserve">this information, and </w:t>
      </w:r>
      <w:r>
        <w:t xml:space="preserve">further information from the NHS and </w:t>
      </w:r>
      <w:r w:rsidRPr="003F5A4C">
        <w:t>national support organisation</w:t>
      </w:r>
      <w:r>
        <w:t>s</w:t>
      </w:r>
      <w:r w:rsidRPr="003F5A4C">
        <w:t xml:space="preserve"> </w:t>
      </w:r>
      <w:r w:rsidR="00C03414">
        <w:t>about</w:t>
      </w:r>
      <w:r w:rsidRPr="003F5A4C">
        <w:t xml:space="preserve"> your condition.</w:t>
      </w:r>
    </w:p>
    <w:p w14:paraId="2210919A" w14:textId="0651C4AB" w:rsidR="00DF7D6C" w:rsidRDefault="00511125">
      <w:r>
        <w:t>Th</w:t>
      </w:r>
      <w:r w:rsidR="003F5A4C">
        <w:t>is</w:t>
      </w:r>
      <w:r>
        <w:t xml:space="preserve"> information has been adapted </w:t>
      </w:r>
      <w:r w:rsidR="0047183A">
        <w:t xml:space="preserve">with acknowledgement </w:t>
      </w:r>
      <w:r>
        <w:t>from</w:t>
      </w:r>
      <w:r w:rsidR="007422CF">
        <w:t xml:space="preserve"> </w:t>
      </w:r>
      <w:r w:rsidR="00FF0A3F">
        <w:t xml:space="preserve">biosimilar medicines </w:t>
      </w:r>
      <w:r w:rsidR="007422CF">
        <w:t>resources</w:t>
      </w:r>
      <w:r w:rsidR="0047183A">
        <w:t xml:space="preserve"> from NHS England and </w:t>
      </w:r>
      <w:r w:rsidR="00FF0A3F">
        <w:t xml:space="preserve">the </w:t>
      </w:r>
      <w:r w:rsidR="00441CC6">
        <w:t>P</w:t>
      </w:r>
      <w:r w:rsidRPr="00511125">
        <w:t xml:space="preserve">atients </w:t>
      </w:r>
      <w:r w:rsidR="00441CC6">
        <w:t>A</w:t>
      </w:r>
      <w:r w:rsidRPr="00511125">
        <w:t>ssociatio</w:t>
      </w:r>
      <w:r w:rsidR="0047183A">
        <w:t>n</w:t>
      </w:r>
      <w:r w:rsidR="00441CC6">
        <w:t xml:space="preserve">.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340B4E" w:rsidRPr="00BE665A" w14:paraId="5076B382" w14:textId="77777777" w:rsidTr="00603A45">
        <w:tc>
          <w:tcPr>
            <w:tcW w:w="1838" w:type="dxa"/>
            <w:shd w:val="clear" w:color="auto" w:fill="auto"/>
          </w:tcPr>
          <w:p w14:paraId="4C8FF144" w14:textId="77777777" w:rsidR="00340B4E" w:rsidRPr="00603A45" w:rsidRDefault="00340B4E" w:rsidP="002820ED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bookmarkStart w:id="0" w:name="_Hlk151993954"/>
            <w:r w:rsidRPr="00603A45">
              <w:rPr>
                <w:rFonts w:eastAsia="Arial" w:cstheme="minorHAnsi"/>
                <w:color w:val="000000"/>
                <w:sz w:val="16"/>
                <w:szCs w:val="16"/>
              </w:rPr>
              <w:lastRenderedPageBreak/>
              <w:t xml:space="preserve">Version </w:t>
            </w:r>
          </w:p>
        </w:tc>
        <w:tc>
          <w:tcPr>
            <w:tcW w:w="7655" w:type="dxa"/>
          </w:tcPr>
          <w:p w14:paraId="6971DEA1" w14:textId="7ADDCD93" w:rsidR="00340B4E" w:rsidRPr="00603A45" w:rsidRDefault="00340B4E" w:rsidP="00340B4E">
            <w:pPr>
              <w:spacing w:after="4" w:line="255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3A45">
              <w:rPr>
                <w:rFonts w:eastAsia="Arial" w:cstheme="minorHAnsi"/>
                <w:sz w:val="16"/>
                <w:szCs w:val="16"/>
              </w:rPr>
              <w:t>1.0</w:t>
            </w:r>
          </w:p>
        </w:tc>
      </w:tr>
      <w:tr w:rsidR="00340B4E" w:rsidRPr="00BE665A" w14:paraId="774C3139" w14:textId="77777777" w:rsidTr="00603A45">
        <w:tc>
          <w:tcPr>
            <w:tcW w:w="1838" w:type="dxa"/>
            <w:shd w:val="clear" w:color="auto" w:fill="auto"/>
          </w:tcPr>
          <w:p w14:paraId="74D16714" w14:textId="77777777" w:rsidR="00340B4E" w:rsidRPr="00603A45" w:rsidRDefault="00340B4E" w:rsidP="002820ED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03A45">
              <w:rPr>
                <w:rFonts w:eastAsia="Arial" w:cstheme="minorHAnsi"/>
                <w:color w:val="000000"/>
                <w:sz w:val="16"/>
                <w:szCs w:val="16"/>
              </w:rPr>
              <w:t>Developed by</w:t>
            </w:r>
          </w:p>
        </w:tc>
        <w:tc>
          <w:tcPr>
            <w:tcW w:w="7655" w:type="dxa"/>
          </w:tcPr>
          <w:p w14:paraId="206C56D7" w14:textId="58EF996D" w:rsidR="00340B4E" w:rsidRPr="00603A45" w:rsidRDefault="00603A45" w:rsidP="002820ED">
            <w:pPr>
              <w:rPr>
                <w:rFonts w:eastAsia="Arial" w:cstheme="minorHAnsi"/>
                <w:sz w:val="16"/>
                <w:szCs w:val="16"/>
              </w:rPr>
            </w:pPr>
            <w:r w:rsidRPr="00603A45">
              <w:rPr>
                <w:rFonts w:eastAsia="Arial" w:cstheme="minorHAnsi"/>
                <w:sz w:val="16"/>
                <w:szCs w:val="16"/>
              </w:rPr>
              <w:t>Hertfordshire and West Essex ICB Pharmacy and Medicines Optimisation Team with</w:t>
            </w:r>
            <w:r w:rsidR="00B308C6">
              <w:rPr>
                <w:rFonts w:eastAsia="Arial" w:cstheme="minorHAnsi"/>
                <w:sz w:val="16"/>
                <w:szCs w:val="16"/>
              </w:rPr>
              <w:t xml:space="preserve"> local stakeholders including </w:t>
            </w:r>
            <w:r w:rsidRPr="00603A45">
              <w:rPr>
                <w:rFonts w:eastAsia="Arial" w:cstheme="minorHAnsi"/>
                <w:sz w:val="16"/>
                <w:szCs w:val="16"/>
              </w:rPr>
              <w:t xml:space="preserve"> East and North Hertfordshire NHS Trust, </w:t>
            </w:r>
            <w:r w:rsidR="00B308C6">
              <w:rPr>
                <w:rFonts w:eastAsia="Arial" w:cstheme="minorHAnsi"/>
                <w:sz w:val="16"/>
                <w:szCs w:val="16"/>
              </w:rPr>
              <w:t xml:space="preserve">The </w:t>
            </w:r>
            <w:r w:rsidRPr="00603A45">
              <w:rPr>
                <w:rFonts w:eastAsia="Arial" w:cstheme="minorHAnsi"/>
                <w:sz w:val="16"/>
                <w:szCs w:val="16"/>
              </w:rPr>
              <w:t xml:space="preserve">Princess Alexandra </w:t>
            </w:r>
            <w:r w:rsidR="00B308C6">
              <w:rPr>
                <w:rFonts w:eastAsia="Arial" w:cstheme="minorHAnsi"/>
                <w:sz w:val="16"/>
                <w:szCs w:val="16"/>
              </w:rPr>
              <w:t xml:space="preserve">Hospital </w:t>
            </w:r>
            <w:r w:rsidRPr="00603A45">
              <w:rPr>
                <w:rFonts w:eastAsia="Arial" w:cstheme="minorHAnsi"/>
                <w:sz w:val="16"/>
                <w:szCs w:val="16"/>
              </w:rPr>
              <w:t xml:space="preserve">NHS </w:t>
            </w:r>
            <w:proofErr w:type="gramStart"/>
            <w:r w:rsidRPr="00603A45">
              <w:rPr>
                <w:rFonts w:eastAsia="Arial" w:cstheme="minorHAnsi"/>
                <w:sz w:val="16"/>
                <w:szCs w:val="16"/>
              </w:rPr>
              <w:t>Trust</w:t>
            </w:r>
            <w:proofErr w:type="gramEnd"/>
            <w:r w:rsidRPr="00603A45">
              <w:rPr>
                <w:rFonts w:eastAsia="Arial" w:cstheme="minorHAnsi"/>
                <w:sz w:val="16"/>
                <w:szCs w:val="16"/>
              </w:rPr>
              <w:t xml:space="preserve"> and West Hertfordshire Teaching Hospitals NHS Trust</w:t>
            </w:r>
          </w:p>
        </w:tc>
      </w:tr>
      <w:tr w:rsidR="00340B4E" w:rsidRPr="00BE665A" w14:paraId="3D5D6831" w14:textId="77777777" w:rsidTr="00603A45">
        <w:tc>
          <w:tcPr>
            <w:tcW w:w="1838" w:type="dxa"/>
            <w:shd w:val="clear" w:color="auto" w:fill="auto"/>
          </w:tcPr>
          <w:p w14:paraId="41093D9C" w14:textId="77777777" w:rsidR="00340B4E" w:rsidRPr="00603A45" w:rsidRDefault="00340B4E" w:rsidP="002820ED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03A45">
              <w:rPr>
                <w:rFonts w:eastAsia="Arial" w:cstheme="minorHAnsi"/>
                <w:color w:val="000000"/>
                <w:sz w:val="16"/>
                <w:szCs w:val="16"/>
              </w:rPr>
              <w:t>Approved by</w:t>
            </w:r>
          </w:p>
        </w:tc>
        <w:tc>
          <w:tcPr>
            <w:tcW w:w="7655" w:type="dxa"/>
          </w:tcPr>
          <w:p w14:paraId="1A8D64B6" w14:textId="5EE34680" w:rsidR="00340B4E" w:rsidRPr="00603A45" w:rsidRDefault="00340B4E" w:rsidP="002820ED">
            <w:pPr>
              <w:rPr>
                <w:rFonts w:eastAsia="Arial" w:cstheme="minorHAnsi"/>
                <w:sz w:val="16"/>
                <w:szCs w:val="16"/>
              </w:rPr>
            </w:pPr>
            <w:r w:rsidRPr="00603A45">
              <w:rPr>
                <w:rFonts w:eastAsia="Arial" w:cstheme="minorHAnsi"/>
                <w:sz w:val="16"/>
                <w:szCs w:val="16"/>
              </w:rPr>
              <w:t>Hertfordshire and West Essex Area Prescribing Committee</w:t>
            </w:r>
          </w:p>
        </w:tc>
      </w:tr>
      <w:tr w:rsidR="00340B4E" w:rsidRPr="00BE665A" w14:paraId="14B9B78E" w14:textId="77777777" w:rsidTr="00603A45">
        <w:tc>
          <w:tcPr>
            <w:tcW w:w="1838" w:type="dxa"/>
            <w:shd w:val="clear" w:color="auto" w:fill="auto"/>
          </w:tcPr>
          <w:p w14:paraId="437303FB" w14:textId="77777777" w:rsidR="00340B4E" w:rsidRPr="00603A45" w:rsidRDefault="00340B4E" w:rsidP="002820ED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03A45">
              <w:rPr>
                <w:rFonts w:eastAsia="Arial" w:cstheme="minorHAnsi"/>
                <w:color w:val="000000"/>
                <w:sz w:val="16"/>
                <w:szCs w:val="16"/>
              </w:rPr>
              <w:t>Date approved/updated</w:t>
            </w:r>
          </w:p>
        </w:tc>
        <w:tc>
          <w:tcPr>
            <w:tcW w:w="7655" w:type="dxa"/>
          </w:tcPr>
          <w:p w14:paraId="2E6C8868" w14:textId="7578C760" w:rsidR="00340B4E" w:rsidRPr="00603A45" w:rsidRDefault="00340B4E" w:rsidP="002820ED">
            <w:pPr>
              <w:rPr>
                <w:rFonts w:eastAsia="Arial" w:cstheme="minorHAnsi"/>
                <w:sz w:val="16"/>
                <w:szCs w:val="16"/>
              </w:rPr>
            </w:pPr>
            <w:r w:rsidRPr="00603A45">
              <w:rPr>
                <w:rFonts w:eastAsia="Arial" w:cstheme="minorHAnsi"/>
                <w:sz w:val="16"/>
                <w:szCs w:val="16"/>
              </w:rPr>
              <w:t>08/02/2024</w:t>
            </w:r>
          </w:p>
        </w:tc>
      </w:tr>
      <w:tr w:rsidR="00340B4E" w:rsidRPr="00BE665A" w14:paraId="16B992ED" w14:textId="77777777" w:rsidTr="00603A45">
        <w:tc>
          <w:tcPr>
            <w:tcW w:w="1838" w:type="dxa"/>
            <w:shd w:val="clear" w:color="auto" w:fill="auto"/>
          </w:tcPr>
          <w:p w14:paraId="33C377C9" w14:textId="77777777" w:rsidR="00340B4E" w:rsidRPr="00603A45" w:rsidRDefault="00340B4E" w:rsidP="002820ED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03A45">
              <w:rPr>
                <w:rFonts w:eastAsia="Arial" w:cstheme="minorHAnsi"/>
                <w:color w:val="000000"/>
                <w:sz w:val="16"/>
                <w:szCs w:val="16"/>
              </w:rPr>
              <w:t xml:space="preserve">Review date: </w:t>
            </w:r>
          </w:p>
        </w:tc>
        <w:tc>
          <w:tcPr>
            <w:tcW w:w="7655" w:type="dxa"/>
          </w:tcPr>
          <w:p w14:paraId="6CD73282" w14:textId="5D1711FF" w:rsidR="00340B4E" w:rsidRPr="00603A45" w:rsidRDefault="00340B4E" w:rsidP="002820ED">
            <w:pPr>
              <w:rPr>
                <w:rFonts w:eastAsia="Arial" w:cstheme="minorHAnsi"/>
                <w:sz w:val="16"/>
                <w:szCs w:val="16"/>
              </w:rPr>
            </w:pPr>
            <w:r w:rsidRPr="00603A45">
              <w:rPr>
                <w:rFonts w:eastAsia="Arial" w:cstheme="minorHAnsi"/>
                <w:sz w:val="16"/>
                <w:szCs w:val="16"/>
              </w:rPr>
              <w:t>The</w:t>
            </w:r>
            <w:r w:rsidR="00603A45" w:rsidRPr="00603A45">
              <w:rPr>
                <w:rFonts w:eastAsia="Arial" w:cstheme="minorHAnsi"/>
                <w:sz w:val="16"/>
                <w:szCs w:val="16"/>
              </w:rPr>
              <w:t xml:space="preserve"> document</w:t>
            </w:r>
            <w:r w:rsidRPr="00603A45">
              <w:rPr>
                <w:rFonts w:eastAsia="Arial" w:cstheme="minorHAnsi"/>
                <w:sz w:val="16"/>
                <w:szCs w:val="16"/>
              </w:rPr>
              <w:t xml:space="preserve"> is based upon the evidence available at the time of publication. This recommendation will be reviewed upon request in the light of new evidence becoming available. </w:t>
            </w:r>
          </w:p>
        </w:tc>
      </w:tr>
      <w:bookmarkEnd w:id="0"/>
    </w:tbl>
    <w:p w14:paraId="1B7C788E" w14:textId="77777777" w:rsidR="00340B4E" w:rsidRDefault="00340B4E"/>
    <w:sectPr w:rsidR="00340B4E" w:rsidSect="00D05B04">
      <w:headerReference w:type="default" r:id="rId10"/>
      <w:footerReference w:type="default" r:id="rId11"/>
      <w:pgSz w:w="11906" w:h="16838"/>
      <w:pgMar w:top="993" w:right="1440" w:bottom="709" w:left="1440" w:header="284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DF83" w14:textId="77777777" w:rsidR="0047183A" w:rsidRDefault="0047183A" w:rsidP="0047183A">
      <w:pPr>
        <w:spacing w:after="0" w:line="240" w:lineRule="auto"/>
      </w:pPr>
      <w:r>
        <w:separator/>
      </w:r>
    </w:p>
  </w:endnote>
  <w:endnote w:type="continuationSeparator" w:id="0">
    <w:p w14:paraId="239DB0BA" w14:textId="77777777" w:rsidR="0047183A" w:rsidRDefault="0047183A" w:rsidP="0047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16863258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09A32A7" w14:textId="358CCD4B" w:rsidR="00D05B04" w:rsidRPr="00D05B04" w:rsidRDefault="00D05B04" w:rsidP="00D05B04">
            <w:pPr>
              <w:pStyle w:val="Footer"/>
              <w:ind w:left="4127" w:firstLine="3793"/>
              <w:rPr>
                <w:sz w:val="16"/>
                <w:szCs w:val="16"/>
              </w:rPr>
            </w:pPr>
            <w:r w:rsidRPr="00D05B04">
              <w:rPr>
                <w:sz w:val="16"/>
                <w:szCs w:val="16"/>
              </w:rPr>
              <w:t xml:space="preserve">Page </w:t>
            </w:r>
            <w:r w:rsidRPr="00D05B04">
              <w:rPr>
                <w:b/>
                <w:bCs/>
                <w:sz w:val="16"/>
                <w:szCs w:val="16"/>
              </w:rPr>
              <w:fldChar w:fldCharType="begin"/>
            </w:r>
            <w:r w:rsidRPr="00D05B0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05B04">
              <w:rPr>
                <w:b/>
                <w:bCs/>
                <w:sz w:val="16"/>
                <w:szCs w:val="16"/>
              </w:rPr>
              <w:fldChar w:fldCharType="separate"/>
            </w:r>
            <w:r w:rsidRPr="00D05B04">
              <w:rPr>
                <w:b/>
                <w:bCs/>
                <w:noProof/>
                <w:sz w:val="16"/>
                <w:szCs w:val="16"/>
              </w:rPr>
              <w:t>2</w:t>
            </w:r>
            <w:r w:rsidRPr="00D05B04">
              <w:rPr>
                <w:b/>
                <w:bCs/>
                <w:sz w:val="16"/>
                <w:szCs w:val="16"/>
              </w:rPr>
              <w:fldChar w:fldCharType="end"/>
            </w:r>
            <w:r w:rsidRPr="00D05B04">
              <w:rPr>
                <w:sz w:val="16"/>
                <w:szCs w:val="16"/>
              </w:rPr>
              <w:t xml:space="preserve"> of </w:t>
            </w:r>
            <w:r w:rsidRPr="00D05B04">
              <w:rPr>
                <w:b/>
                <w:bCs/>
                <w:sz w:val="16"/>
                <w:szCs w:val="16"/>
              </w:rPr>
              <w:fldChar w:fldCharType="begin"/>
            </w:r>
            <w:r w:rsidRPr="00D05B0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05B04">
              <w:rPr>
                <w:b/>
                <w:bCs/>
                <w:sz w:val="16"/>
                <w:szCs w:val="16"/>
              </w:rPr>
              <w:fldChar w:fldCharType="separate"/>
            </w:r>
            <w:r w:rsidRPr="00D05B04">
              <w:rPr>
                <w:b/>
                <w:bCs/>
                <w:noProof/>
                <w:sz w:val="16"/>
                <w:szCs w:val="16"/>
              </w:rPr>
              <w:t>2</w:t>
            </w:r>
            <w:r w:rsidRPr="00D05B0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118C31E" w14:textId="77777777" w:rsidR="00D05B04" w:rsidRDefault="00D05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9D5D" w14:textId="77777777" w:rsidR="0047183A" w:rsidRDefault="0047183A" w:rsidP="0047183A">
      <w:pPr>
        <w:spacing w:after="0" w:line="240" w:lineRule="auto"/>
      </w:pPr>
      <w:r>
        <w:separator/>
      </w:r>
    </w:p>
  </w:footnote>
  <w:footnote w:type="continuationSeparator" w:id="0">
    <w:p w14:paraId="720D2666" w14:textId="77777777" w:rsidR="0047183A" w:rsidRDefault="0047183A" w:rsidP="0047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5970" w14:textId="0D2DDAE4" w:rsidR="00D05B04" w:rsidRDefault="00D05B04" w:rsidP="00D05B04">
    <w:pPr>
      <w:pStyle w:val="Header"/>
      <w:tabs>
        <w:tab w:val="clear" w:pos="4513"/>
        <w:tab w:val="clear" w:pos="9026"/>
        <w:tab w:val="left" w:pos="6521"/>
      </w:tabs>
    </w:pPr>
    <w:r w:rsidRPr="00DE2ABB">
      <w:rPr>
        <w:noProof/>
      </w:rPr>
      <w:drawing>
        <wp:inline distT="0" distB="0" distL="0" distR="0" wp14:anchorId="11F55DFA" wp14:editId="0D2303EF">
          <wp:extent cx="1060139" cy="681120"/>
          <wp:effectExtent l="0" t="0" r="0" b="0"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773" cy="71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DE2ABB">
      <w:rPr>
        <w:noProof/>
      </w:rPr>
      <w:drawing>
        <wp:inline distT="0" distB="0" distL="0" distR="0" wp14:anchorId="333308AA" wp14:editId="47E01F33">
          <wp:extent cx="1084985" cy="740949"/>
          <wp:effectExtent l="0" t="0" r="1270" b="2540"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109" cy="80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70622"/>
    <w:multiLevelType w:val="multilevel"/>
    <w:tmpl w:val="0A40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237D94"/>
    <w:multiLevelType w:val="hybridMultilevel"/>
    <w:tmpl w:val="F412DB4A"/>
    <w:lvl w:ilvl="0" w:tplc="134C8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045CB"/>
    <w:multiLevelType w:val="hybridMultilevel"/>
    <w:tmpl w:val="67CC6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4562">
    <w:abstractNumId w:val="0"/>
  </w:num>
  <w:num w:numId="2" w16cid:durableId="1190755966">
    <w:abstractNumId w:val="1"/>
  </w:num>
  <w:num w:numId="3" w16cid:durableId="2014412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6C"/>
    <w:rsid w:val="00046308"/>
    <w:rsid w:val="00094A9F"/>
    <w:rsid w:val="000C27C2"/>
    <w:rsid w:val="00247FF5"/>
    <w:rsid w:val="00250647"/>
    <w:rsid w:val="00260A9C"/>
    <w:rsid w:val="00272D47"/>
    <w:rsid w:val="002E2AAF"/>
    <w:rsid w:val="002F7E0C"/>
    <w:rsid w:val="00340B4E"/>
    <w:rsid w:val="003657A5"/>
    <w:rsid w:val="003D24A5"/>
    <w:rsid w:val="003F5A4C"/>
    <w:rsid w:val="004153FA"/>
    <w:rsid w:val="00441CC6"/>
    <w:rsid w:val="0047183A"/>
    <w:rsid w:val="004A0FE1"/>
    <w:rsid w:val="004A19BF"/>
    <w:rsid w:val="00511125"/>
    <w:rsid w:val="00517BDE"/>
    <w:rsid w:val="005A3D1E"/>
    <w:rsid w:val="005D3CAD"/>
    <w:rsid w:val="00603A45"/>
    <w:rsid w:val="00627D02"/>
    <w:rsid w:val="007422CF"/>
    <w:rsid w:val="00747C08"/>
    <w:rsid w:val="00761C18"/>
    <w:rsid w:val="00775547"/>
    <w:rsid w:val="007A5865"/>
    <w:rsid w:val="007E3077"/>
    <w:rsid w:val="008E41B2"/>
    <w:rsid w:val="008F4FDB"/>
    <w:rsid w:val="009A3456"/>
    <w:rsid w:val="00A03B37"/>
    <w:rsid w:val="00A520AF"/>
    <w:rsid w:val="00A55F04"/>
    <w:rsid w:val="00A7454D"/>
    <w:rsid w:val="00AC7D4C"/>
    <w:rsid w:val="00B308C6"/>
    <w:rsid w:val="00B91D3D"/>
    <w:rsid w:val="00BA1A7C"/>
    <w:rsid w:val="00C03414"/>
    <w:rsid w:val="00C34E0F"/>
    <w:rsid w:val="00CB57BF"/>
    <w:rsid w:val="00CC4D04"/>
    <w:rsid w:val="00D05B04"/>
    <w:rsid w:val="00D408B1"/>
    <w:rsid w:val="00D51061"/>
    <w:rsid w:val="00DF7D6C"/>
    <w:rsid w:val="00E71B64"/>
    <w:rsid w:val="00ED085F"/>
    <w:rsid w:val="00F804D1"/>
    <w:rsid w:val="00F955A2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1E20B"/>
  <w15:chartTrackingRefBased/>
  <w15:docId w15:val="{B405F851-576B-45C1-85CC-6741AF82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2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1CC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83A"/>
  </w:style>
  <w:style w:type="paragraph" w:styleId="Footer">
    <w:name w:val="footer"/>
    <w:basedOn w:val="Normal"/>
    <w:link w:val="FooterChar"/>
    <w:uiPriority w:val="99"/>
    <w:unhideWhenUsed/>
    <w:rsid w:val="00471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83A"/>
  </w:style>
  <w:style w:type="paragraph" w:styleId="ListParagraph">
    <w:name w:val="List Paragraph"/>
    <w:basedOn w:val="Normal"/>
    <w:uiPriority w:val="34"/>
    <w:qFormat/>
    <w:rsid w:val="007E3077"/>
    <w:pPr>
      <w:ind w:left="720"/>
      <w:contextualSpacing/>
    </w:pPr>
  </w:style>
  <w:style w:type="table" w:styleId="TableGrid">
    <w:name w:val="Table Grid"/>
    <w:basedOn w:val="TableNormal"/>
    <w:uiPriority w:val="59"/>
    <w:rsid w:val="00340B4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tishbiosimilars.co.uk/facts-about-biosimilar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publication/what-is-a-biosimilar-medicin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atients-association.org.uk/switchingtobiosimila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SACH, Colin (NHS HERTFORDSHIRE AND WEST ESSEX ICB - 06K)</dc:creator>
  <cp:keywords/>
  <dc:description/>
  <cp:lastModifiedBy>SACH, Colin (NHS HERTFORDSHIRE AND WEST ESSEX ICB - 06K)</cp:lastModifiedBy>
  <cp:revision>4</cp:revision>
  <dcterms:created xsi:type="dcterms:W3CDTF">2024-04-22T10:13:00Z</dcterms:created>
  <dcterms:modified xsi:type="dcterms:W3CDTF">2024-04-22T10:56:00Z</dcterms:modified>
</cp:coreProperties>
</file>