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796A" w14:textId="77777777" w:rsidR="00CB3921" w:rsidRDefault="005A377C" w:rsidP="00F928CD">
      <w:pPr>
        <w:spacing w:after="0"/>
        <w:rPr>
          <w:rFonts w:ascii="Arial" w:hAnsi="Arial" w:cs="Arial"/>
          <w:b/>
        </w:rPr>
      </w:pPr>
      <w:r w:rsidRPr="00B715A2">
        <w:rPr>
          <w:rFonts w:ascii="Arial" w:hAnsi="Arial" w:cs="Arial"/>
          <w:b/>
        </w:rPr>
        <w:t>Letter for transfer of care for denosumab</w:t>
      </w:r>
      <w:r w:rsidR="00CB3921" w:rsidRPr="00CB3921">
        <w:rPr>
          <w:rFonts w:ascii="Arial" w:hAnsi="Arial" w:cs="Arial"/>
          <w:b/>
        </w:rPr>
        <w:t xml:space="preserve"> </w:t>
      </w:r>
      <w:r w:rsidR="00CB3921" w:rsidRPr="00B715A2">
        <w:rPr>
          <w:rFonts w:ascii="Arial" w:hAnsi="Arial" w:cs="Arial"/>
          <w:b/>
        </w:rPr>
        <w:t>from specialist to GP</w:t>
      </w:r>
      <w:r w:rsidR="00CB3921">
        <w:rPr>
          <w:rFonts w:ascii="Arial" w:hAnsi="Arial" w:cs="Arial"/>
          <w:b/>
        </w:rPr>
        <w:t xml:space="preserve"> for:</w:t>
      </w:r>
    </w:p>
    <w:p w14:paraId="730C8C08" w14:textId="77777777" w:rsidR="00CB3921" w:rsidRDefault="00CB3921" w:rsidP="00F928CD">
      <w:pPr>
        <w:spacing w:after="0"/>
        <w:rPr>
          <w:rFonts w:ascii="Arial" w:hAnsi="Arial" w:cs="Arial"/>
          <w:b/>
        </w:rPr>
      </w:pPr>
      <w:r w:rsidRPr="00B715A2">
        <w:rPr>
          <w:rFonts w:ascii="Arial" w:hAnsi="Arial" w:cs="Arial"/>
          <w:sz w:val="20"/>
        </w:rPr>
        <w:fldChar w:fldCharType="begin">
          <w:ffData>
            <w:name w:val="Check13"/>
            <w:enabled/>
            <w:calcOnExit w:val="0"/>
            <w:checkBox>
              <w:sizeAuto/>
              <w:default w:val="0"/>
            </w:checkBox>
          </w:ffData>
        </w:fldChar>
      </w:r>
      <w:r w:rsidRPr="00B715A2">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B715A2">
        <w:rPr>
          <w:rFonts w:ascii="Arial" w:hAnsi="Arial" w:cs="Arial"/>
          <w:sz w:val="20"/>
        </w:rPr>
        <w:fldChar w:fldCharType="end"/>
      </w:r>
      <w:r w:rsidR="005A377C" w:rsidRPr="00B715A2">
        <w:rPr>
          <w:rFonts w:ascii="Arial" w:hAnsi="Arial" w:cs="Arial"/>
          <w:b/>
        </w:rPr>
        <w:t xml:space="preserve"> </w:t>
      </w:r>
      <w:proofErr w:type="spellStart"/>
      <w:r w:rsidR="005A377C" w:rsidRPr="00B715A2">
        <w:rPr>
          <w:rFonts w:ascii="Arial" w:hAnsi="Arial" w:cs="Arial"/>
          <w:b/>
        </w:rPr>
        <w:t>post menopausal</w:t>
      </w:r>
      <w:proofErr w:type="spellEnd"/>
      <w:r w:rsidR="005A377C" w:rsidRPr="00B715A2">
        <w:rPr>
          <w:rFonts w:ascii="Arial" w:hAnsi="Arial" w:cs="Arial"/>
          <w:b/>
        </w:rPr>
        <w:t xml:space="preserve"> osteoporosis</w:t>
      </w:r>
    </w:p>
    <w:p w14:paraId="4364F569" w14:textId="77777777" w:rsidR="005A377C" w:rsidRPr="00B715A2" w:rsidRDefault="00CB3921" w:rsidP="00F928CD">
      <w:pPr>
        <w:spacing w:after="0"/>
        <w:rPr>
          <w:rFonts w:ascii="Arial" w:hAnsi="Arial" w:cs="Arial"/>
          <w:b/>
        </w:rPr>
      </w:pPr>
      <w:r w:rsidRPr="00B715A2">
        <w:rPr>
          <w:rFonts w:ascii="Arial" w:hAnsi="Arial" w:cs="Arial"/>
          <w:sz w:val="20"/>
        </w:rPr>
        <w:fldChar w:fldCharType="begin">
          <w:ffData>
            <w:name w:val="Check13"/>
            <w:enabled/>
            <w:calcOnExit w:val="0"/>
            <w:checkBox>
              <w:sizeAuto/>
              <w:default w:val="0"/>
            </w:checkBox>
          </w:ffData>
        </w:fldChar>
      </w:r>
      <w:r w:rsidRPr="00B715A2">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B715A2">
        <w:rPr>
          <w:rFonts w:ascii="Arial" w:hAnsi="Arial" w:cs="Arial"/>
          <w:sz w:val="20"/>
        </w:rPr>
        <w:fldChar w:fldCharType="end"/>
      </w:r>
      <w:r w:rsidR="00DF7CE6">
        <w:rPr>
          <w:rFonts w:ascii="Arial" w:hAnsi="Arial" w:cs="Arial"/>
          <w:sz w:val="20"/>
        </w:rPr>
        <w:t xml:space="preserve"> </w:t>
      </w:r>
      <w:r w:rsidR="006E593E" w:rsidRPr="006E593E">
        <w:rPr>
          <w:rFonts w:ascii="Arial" w:hAnsi="Arial" w:cs="Arial"/>
          <w:b/>
        </w:rPr>
        <w:t>osteoporosis in men</w:t>
      </w:r>
      <w:r w:rsidR="006E593E" w:rsidRPr="00B715A2">
        <w:rPr>
          <w:rFonts w:ascii="Arial" w:hAnsi="Arial" w:cs="Arial"/>
        </w:rPr>
        <w:t xml:space="preserve"> </w:t>
      </w:r>
      <w:r w:rsidR="005A377C" w:rsidRPr="00B715A2">
        <w:rPr>
          <w:rFonts w:ascii="Arial" w:hAnsi="Arial" w:cs="Arial"/>
          <w:b/>
        </w:rPr>
        <w:t xml:space="preserve"> </w:t>
      </w:r>
    </w:p>
    <w:p w14:paraId="13278335" w14:textId="77777777" w:rsidR="005A377C" w:rsidRPr="00B715A2" w:rsidRDefault="005A377C" w:rsidP="00F928CD">
      <w:pPr>
        <w:spacing w:after="0"/>
        <w:rPr>
          <w:rFonts w:ascii="Arial" w:hAnsi="Arial" w:cs="Arial"/>
          <w:b/>
        </w:rPr>
      </w:pPr>
      <w:r w:rsidRPr="00B715A2">
        <w:rPr>
          <w:rFonts w:ascii="Arial" w:hAnsi="Arial" w:cs="Arial"/>
        </w:rPr>
        <w:t>(1 copy to be given to the patient and 2</w:t>
      </w:r>
      <w:r w:rsidRPr="00B715A2">
        <w:rPr>
          <w:rFonts w:ascii="Arial" w:hAnsi="Arial" w:cs="Arial"/>
          <w:vertAlign w:val="superscript"/>
        </w:rPr>
        <w:t>nd</w:t>
      </w:r>
      <w:r w:rsidRPr="00B715A2">
        <w:rPr>
          <w:rFonts w:ascii="Arial" w:hAnsi="Arial" w:cs="Arial"/>
        </w:rPr>
        <w:t xml:space="preserve"> copy sent to the GP</w:t>
      </w:r>
      <w:r>
        <w:rPr>
          <w:rFonts w:ascii="Arial" w:hAnsi="Arial" w:cs="Arial"/>
        </w:rPr>
        <w:t>: letter to be emailed or posted to ensure that documentation arrives in good time for GP to arrange ongoing care.</w:t>
      </w:r>
      <w:r w:rsidRPr="00B715A2">
        <w:rPr>
          <w:rFonts w:ascii="Arial" w:hAnsi="Arial" w:cs="Arial"/>
        </w:rPr>
        <w:t>)</w:t>
      </w:r>
    </w:p>
    <w:p w14:paraId="6DE1355C" w14:textId="77777777" w:rsidR="005A377C" w:rsidRPr="00B715A2" w:rsidRDefault="005A377C" w:rsidP="006C1A84">
      <w:pPr>
        <w:jc w:val="right"/>
        <w:rPr>
          <w:rFonts w:ascii="Arial" w:hAnsi="Arial" w:cs="Arial"/>
          <w:sz w:val="20"/>
          <w:szCs w:val="20"/>
        </w:rPr>
      </w:pPr>
      <w:r w:rsidRPr="00B715A2">
        <w:rPr>
          <w:rFonts w:ascii="Arial" w:hAnsi="Arial" w:cs="Arial"/>
          <w:sz w:val="20"/>
          <w:szCs w:val="20"/>
        </w:rPr>
        <w:fldChar w:fldCharType="begin">
          <w:ffData>
            <w:name w:val="Text4"/>
            <w:enabled/>
            <w:calcOnExit w:val="0"/>
            <w:textInput/>
          </w:ffData>
        </w:fldChar>
      </w:r>
      <w:r w:rsidRPr="00B715A2">
        <w:rPr>
          <w:rFonts w:ascii="Arial" w:hAnsi="Arial" w:cs="Arial"/>
          <w:sz w:val="20"/>
          <w:szCs w:val="20"/>
        </w:rPr>
        <w:instrText xml:space="preserve"> FORMTEXT </w:instrText>
      </w:r>
      <w:r w:rsidRPr="00B715A2">
        <w:rPr>
          <w:rFonts w:ascii="Arial" w:hAnsi="Arial" w:cs="Arial"/>
          <w:sz w:val="20"/>
          <w:szCs w:val="20"/>
        </w:rPr>
      </w:r>
      <w:r w:rsidRPr="00B715A2">
        <w:rPr>
          <w:rFonts w:ascii="Arial" w:hAnsi="Arial" w:cs="Arial"/>
          <w:sz w:val="20"/>
          <w:szCs w:val="20"/>
        </w:rPr>
        <w:fldChar w:fldCharType="separate"/>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hAnsi="Arial" w:cs="Arial"/>
          <w:sz w:val="20"/>
          <w:szCs w:val="20"/>
        </w:rPr>
        <w:fldChar w:fldCharType="end"/>
      </w:r>
    </w:p>
    <w:p w14:paraId="73C8F198" w14:textId="77777777" w:rsidR="005A377C" w:rsidRPr="00B715A2" w:rsidRDefault="005A377C">
      <w:pPr>
        <w:rPr>
          <w:rFonts w:ascii="Arial" w:hAnsi="Arial" w:cs="Arial"/>
        </w:rPr>
      </w:pPr>
      <w:r w:rsidRPr="00B715A2">
        <w:rPr>
          <w:rFonts w:ascii="Arial" w:hAnsi="Arial" w:cs="Arial"/>
          <w:sz w:val="20"/>
          <w:szCs w:val="20"/>
        </w:rPr>
        <w:fldChar w:fldCharType="begin">
          <w:ffData>
            <w:name w:val="Text4"/>
            <w:enabled/>
            <w:calcOnExit w:val="0"/>
            <w:textInput/>
          </w:ffData>
        </w:fldChar>
      </w:r>
      <w:r w:rsidRPr="00B715A2">
        <w:rPr>
          <w:rFonts w:ascii="Arial" w:hAnsi="Arial" w:cs="Arial"/>
          <w:sz w:val="20"/>
          <w:szCs w:val="20"/>
        </w:rPr>
        <w:instrText xml:space="preserve"> FORMTEXT </w:instrText>
      </w:r>
      <w:r w:rsidRPr="00B715A2">
        <w:rPr>
          <w:rFonts w:ascii="Arial" w:hAnsi="Arial" w:cs="Arial"/>
          <w:sz w:val="20"/>
          <w:szCs w:val="20"/>
        </w:rPr>
      </w:r>
      <w:r w:rsidRPr="00B715A2">
        <w:rPr>
          <w:rFonts w:ascii="Arial" w:hAnsi="Arial" w:cs="Arial"/>
          <w:sz w:val="20"/>
          <w:szCs w:val="20"/>
        </w:rPr>
        <w:fldChar w:fldCharType="separate"/>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hAnsi="Arial" w:cs="Arial"/>
          <w:sz w:val="20"/>
          <w:szCs w:val="20"/>
        </w:rPr>
        <w:fldChar w:fldCharType="end"/>
      </w:r>
    </w:p>
    <w:p w14:paraId="7EE95910" w14:textId="77777777" w:rsidR="005A377C" w:rsidRPr="00B715A2" w:rsidRDefault="005A377C">
      <w:pPr>
        <w:rPr>
          <w:rFonts w:ascii="Arial" w:hAnsi="Arial" w:cs="Arial"/>
        </w:rPr>
      </w:pPr>
      <w:r w:rsidRPr="00B715A2">
        <w:rPr>
          <w:rFonts w:ascii="Arial" w:hAnsi="Arial" w:cs="Arial"/>
        </w:rPr>
        <w:t xml:space="preserve">Dear Dr </w:t>
      </w:r>
      <w:bookmarkStart w:id="0" w:name="Text4"/>
      <w:r w:rsidRPr="00B715A2">
        <w:rPr>
          <w:rFonts w:ascii="Arial" w:hAnsi="Arial" w:cs="Arial"/>
          <w:sz w:val="20"/>
          <w:szCs w:val="20"/>
        </w:rPr>
        <w:fldChar w:fldCharType="begin">
          <w:ffData>
            <w:name w:val="Text4"/>
            <w:enabled/>
            <w:calcOnExit w:val="0"/>
            <w:textInput/>
          </w:ffData>
        </w:fldChar>
      </w:r>
      <w:r w:rsidRPr="00B715A2">
        <w:rPr>
          <w:rFonts w:ascii="Arial" w:hAnsi="Arial" w:cs="Arial"/>
          <w:sz w:val="20"/>
          <w:szCs w:val="20"/>
        </w:rPr>
        <w:instrText xml:space="preserve"> FORMTEXT </w:instrText>
      </w:r>
      <w:r w:rsidRPr="00B715A2">
        <w:rPr>
          <w:rFonts w:ascii="Arial" w:hAnsi="Arial" w:cs="Arial"/>
          <w:sz w:val="20"/>
          <w:szCs w:val="20"/>
        </w:rPr>
      </w:r>
      <w:r w:rsidRPr="00B715A2">
        <w:rPr>
          <w:rFonts w:ascii="Arial" w:hAnsi="Arial" w:cs="Arial"/>
          <w:sz w:val="20"/>
          <w:szCs w:val="20"/>
        </w:rPr>
        <w:fldChar w:fldCharType="separate"/>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hAnsi="Arial" w:cs="Arial"/>
          <w:sz w:val="20"/>
          <w:szCs w:val="20"/>
        </w:rPr>
        <w:fldChar w:fldCharType="end"/>
      </w:r>
      <w:bookmarkEnd w:id="0"/>
    </w:p>
    <w:p w14:paraId="590ABCF6" w14:textId="77777777" w:rsidR="005A377C" w:rsidRPr="00B715A2" w:rsidRDefault="005A377C">
      <w:pPr>
        <w:rPr>
          <w:rFonts w:ascii="Arial" w:hAnsi="Arial" w:cs="Arial"/>
        </w:rPr>
      </w:pPr>
      <w:r w:rsidRPr="00B715A2">
        <w:rPr>
          <w:rFonts w:ascii="Arial" w:hAnsi="Arial" w:cs="Arial"/>
        </w:rPr>
        <w:t>Re</w:t>
      </w:r>
      <w:r>
        <w:rPr>
          <w:rFonts w:ascii="Arial" w:hAnsi="Arial" w:cs="Arial"/>
        </w:rPr>
        <w:t xml:space="preserve"> y</w:t>
      </w:r>
      <w:r w:rsidRPr="00B715A2">
        <w:rPr>
          <w:rFonts w:ascii="Arial" w:hAnsi="Arial" w:cs="Arial"/>
        </w:rPr>
        <w:t xml:space="preserve">our patient: </w:t>
      </w:r>
      <w:r w:rsidRPr="00B715A2">
        <w:rPr>
          <w:rFonts w:ascii="Arial" w:hAnsi="Arial" w:cs="Arial"/>
          <w:sz w:val="20"/>
          <w:szCs w:val="20"/>
        </w:rPr>
        <w:fldChar w:fldCharType="begin">
          <w:ffData>
            <w:name w:val="Text4"/>
            <w:enabled/>
            <w:calcOnExit w:val="0"/>
            <w:textInput/>
          </w:ffData>
        </w:fldChar>
      </w:r>
      <w:r w:rsidRPr="00B715A2">
        <w:rPr>
          <w:rFonts w:ascii="Arial" w:hAnsi="Arial" w:cs="Arial"/>
          <w:sz w:val="20"/>
          <w:szCs w:val="20"/>
        </w:rPr>
        <w:instrText xml:space="preserve"> FORMTEXT </w:instrText>
      </w:r>
      <w:r w:rsidRPr="00B715A2">
        <w:rPr>
          <w:rFonts w:ascii="Arial" w:hAnsi="Arial" w:cs="Arial"/>
          <w:sz w:val="20"/>
          <w:szCs w:val="20"/>
        </w:rPr>
      </w:r>
      <w:r w:rsidRPr="00B715A2">
        <w:rPr>
          <w:rFonts w:ascii="Arial" w:hAnsi="Arial" w:cs="Arial"/>
          <w:sz w:val="20"/>
          <w:szCs w:val="20"/>
        </w:rPr>
        <w:fldChar w:fldCharType="separate"/>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hAnsi="Arial" w:cs="Arial"/>
          <w:sz w:val="20"/>
          <w:szCs w:val="20"/>
        </w:rPr>
        <w:fldChar w:fldCharType="end"/>
      </w:r>
    </w:p>
    <w:p w14:paraId="0C0016D7" w14:textId="641C8535" w:rsidR="005A377C" w:rsidRPr="00B715A2" w:rsidRDefault="005A377C" w:rsidP="00E41B6C">
      <w:pPr>
        <w:rPr>
          <w:rFonts w:ascii="Arial" w:hAnsi="Arial" w:cs="Arial"/>
        </w:rPr>
      </w:pPr>
      <w:r w:rsidRPr="00B715A2">
        <w:rPr>
          <w:rFonts w:ascii="Arial" w:hAnsi="Arial" w:cs="Arial"/>
        </w:rPr>
        <w:t xml:space="preserve">I am recommending the use of denosumab in line with the </w:t>
      </w:r>
      <w:r w:rsidRPr="009032FD">
        <w:rPr>
          <w:rFonts w:ascii="Arial" w:hAnsi="Arial" w:cs="Arial"/>
        </w:rPr>
        <w:t>Hertfordshire</w:t>
      </w:r>
      <w:r w:rsidR="00694EBE" w:rsidRPr="009032FD">
        <w:rPr>
          <w:rFonts w:ascii="Arial" w:hAnsi="Arial" w:cs="Arial"/>
        </w:rPr>
        <w:t xml:space="preserve"> and west Essex</w:t>
      </w:r>
      <w:r w:rsidRPr="009032FD">
        <w:rPr>
          <w:rFonts w:ascii="Arial" w:hAnsi="Arial" w:cs="Arial"/>
        </w:rPr>
        <w:t xml:space="preserve"> osteoporosis</w:t>
      </w:r>
      <w:r w:rsidRPr="00B715A2">
        <w:rPr>
          <w:rFonts w:ascii="Arial" w:hAnsi="Arial" w:cs="Arial"/>
        </w:rPr>
        <w:t xml:space="preserve"> guidelines because of</w:t>
      </w:r>
      <w:r w:rsidR="003D5922">
        <w:rPr>
          <w:rFonts w:ascii="Arial" w:hAnsi="Arial" w:cs="Arial"/>
        </w:rPr>
        <w:t>:</w:t>
      </w:r>
      <w:r w:rsidRPr="00B715A2">
        <w:rPr>
          <w:rFonts w:ascii="Arial" w:hAnsi="Arial" w:cs="Arial"/>
        </w:rPr>
        <w:t xml:space="preserve"> </w:t>
      </w:r>
    </w:p>
    <w:p w14:paraId="7A78F80A" w14:textId="77777777" w:rsidR="005A377C" w:rsidRDefault="005A377C" w:rsidP="00DF06CE">
      <w:pPr>
        <w:pStyle w:val="ListParagraph"/>
        <w:numPr>
          <w:ilvl w:val="0"/>
          <w:numId w:val="2"/>
        </w:numPr>
        <w:rPr>
          <w:rFonts w:ascii="Arial" w:hAnsi="Arial" w:cs="Arial"/>
        </w:rPr>
      </w:pPr>
      <w:r w:rsidRPr="00DF06CE">
        <w:rPr>
          <w:rFonts w:ascii="Arial" w:hAnsi="Arial" w:cs="Arial"/>
        </w:rPr>
        <w:t xml:space="preserve">inability to tolerate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00F46D9C">
        <w:rPr>
          <w:rFonts w:ascii="Arial" w:hAnsi="Arial" w:cs="Arial"/>
          <w:sz w:val="20"/>
        </w:rPr>
        <w:t xml:space="preserve"> </w:t>
      </w:r>
      <w:r w:rsidRPr="00DF06CE">
        <w:rPr>
          <w:rFonts w:ascii="Arial" w:hAnsi="Arial" w:cs="Arial"/>
        </w:rPr>
        <w:t>alendronate and/or</w:t>
      </w:r>
      <w:r w:rsidRPr="00DF06CE">
        <w:rPr>
          <w:rFonts w:ascii="Arial" w:hAnsi="Arial" w:cs="Arial"/>
          <w:sz w:val="20"/>
        </w:rPr>
        <w:t xml:space="preserve">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Pr="00DF06CE">
        <w:rPr>
          <w:rFonts w:ascii="Arial" w:hAnsi="Arial" w:cs="Arial"/>
        </w:rPr>
        <w:t xml:space="preserve"> risedronate and/or</w:t>
      </w:r>
      <w:r w:rsidRPr="00DF06CE">
        <w:rPr>
          <w:rFonts w:ascii="Arial" w:hAnsi="Arial" w:cs="Arial"/>
          <w:sz w:val="20"/>
        </w:rPr>
        <w:t xml:space="preserve">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Pr="00DF06CE">
        <w:rPr>
          <w:rFonts w:ascii="Arial" w:hAnsi="Arial" w:cs="Arial"/>
        </w:rPr>
        <w:t xml:space="preserve"> zoledronic acid</w:t>
      </w:r>
    </w:p>
    <w:p w14:paraId="0DD091D8" w14:textId="77777777" w:rsidR="00DF06CE" w:rsidRPr="00DF06CE" w:rsidRDefault="00DF06CE" w:rsidP="00DF06CE">
      <w:pPr>
        <w:pStyle w:val="ListParagraph"/>
        <w:ind w:left="360"/>
        <w:rPr>
          <w:rFonts w:ascii="Arial" w:hAnsi="Arial" w:cs="Arial"/>
        </w:rPr>
      </w:pPr>
    </w:p>
    <w:p w14:paraId="1577C8D7" w14:textId="77777777" w:rsidR="005A377C" w:rsidRDefault="005A377C" w:rsidP="00DF06CE">
      <w:pPr>
        <w:pStyle w:val="ListParagraph"/>
        <w:numPr>
          <w:ilvl w:val="0"/>
          <w:numId w:val="2"/>
        </w:numPr>
        <w:rPr>
          <w:rFonts w:ascii="Arial" w:hAnsi="Arial" w:cs="Arial"/>
        </w:rPr>
      </w:pPr>
      <w:r w:rsidRPr="00DF06CE">
        <w:rPr>
          <w:rFonts w:ascii="Arial" w:hAnsi="Arial" w:cs="Arial"/>
        </w:rPr>
        <w:t xml:space="preserve">contraindication to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00F46D9C">
        <w:rPr>
          <w:rFonts w:ascii="Arial" w:hAnsi="Arial" w:cs="Arial"/>
        </w:rPr>
        <w:t xml:space="preserve"> a</w:t>
      </w:r>
      <w:r w:rsidRPr="00DF06CE">
        <w:rPr>
          <w:rFonts w:ascii="Arial" w:hAnsi="Arial" w:cs="Arial"/>
        </w:rPr>
        <w:t xml:space="preserve">lendronate and/or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0099172E">
        <w:rPr>
          <w:rFonts w:ascii="Arial" w:hAnsi="Arial" w:cs="Arial"/>
          <w:sz w:val="20"/>
        </w:rPr>
        <w:t xml:space="preserve"> </w:t>
      </w:r>
      <w:r w:rsidRPr="00DF06CE">
        <w:rPr>
          <w:rFonts w:ascii="Arial" w:hAnsi="Arial" w:cs="Arial"/>
        </w:rPr>
        <w:t>risedronate and/or</w:t>
      </w:r>
      <w:r w:rsidRPr="00DF06CE">
        <w:rPr>
          <w:rFonts w:ascii="Arial" w:hAnsi="Arial" w:cs="Arial"/>
          <w:sz w:val="20"/>
        </w:rPr>
        <w:t xml:space="preserve">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Pr="00DF06CE">
        <w:rPr>
          <w:rFonts w:ascii="Arial" w:hAnsi="Arial" w:cs="Arial"/>
        </w:rPr>
        <w:t xml:space="preserve"> zoledronic acid</w:t>
      </w:r>
    </w:p>
    <w:p w14:paraId="2F608A84" w14:textId="77777777" w:rsidR="00DF06CE" w:rsidRPr="00DF06CE" w:rsidRDefault="00DF06CE" w:rsidP="00DF06CE">
      <w:pPr>
        <w:pStyle w:val="ListParagraph"/>
        <w:ind w:left="360"/>
        <w:rPr>
          <w:rFonts w:ascii="Arial" w:hAnsi="Arial" w:cs="Arial"/>
        </w:rPr>
      </w:pPr>
    </w:p>
    <w:p w14:paraId="25AEBC73" w14:textId="77777777" w:rsidR="005A377C" w:rsidRPr="00DF06CE" w:rsidRDefault="005A377C" w:rsidP="00DF06CE">
      <w:pPr>
        <w:pStyle w:val="ListParagraph"/>
        <w:numPr>
          <w:ilvl w:val="0"/>
          <w:numId w:val="2"/>
        </w:numPr>
        <w:rPr>
          <w:rFonts w:ascii="Arial" w:hAnsi="Arial" w:cs="Arial"/>
        </w:rPr>
      </w:pPr>
      <w:r w:rsidRPr="00DF06CE">
        <w:rPr>
          <w:rFonts w:ascii="Arial" w:hAnsi="Arial" w:cs="Arial"/>
        </w:rPr>
        <w:t xml:space="preserve">reduced bone density despite the use of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Pr="00DF06CE">
        <w:rPr>
          <w:rFonts w:ascii="Arial" w:hAnsi="Arial" w:cs="Arial"/>
        </w:rPr>
        <w:t xml:space="preserve"> alendronate and/or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0099172E">
        <w:rPr>
          <w:rFonts w:ascii="Arial" w:hAnsi="Arial" w:cs="Arial"/>
          <w:sz w:val="20"/>
        </w:rPr>
        <w:t xml:space="preserve"> </w:t>
      </w:r>
      <w:r w:rsidRPr="00DF06CE">
        <w:rPr>
          <w:rFonts w:ascii="Arial" w:hAnsi="Arial" w:cs="Arial"/>
        </w:rPr>
        <w:t>risedronate and/or</w:t>
      </w:r>
      <w:r w:rsidRPr="00DF06CE">
        <w:rPr>
          <w:rFonts w:ascii="Arial" w:hAnsi="Arial" w:cs="Arial"/>
          <w:sz w:val="20"/>
        </w:rPr>
        <w:t xml:space="preserve"> </w:t>
      </w:r>
      <w:r w:rsidRPr="00DF06CE">
        <w:rPr>
          <w:rFonts w:ascii="Arial" w:hAnsi="Arial" w:cs="Arial"/>
          <w:sz w:val="20"/>
        </w:rPr>
        <w:fldChar w:fldCharType="begin">
          <w:ffData>
            <w:name w:val="Check13"/>
            <w:enabled/>
            <w:calcOnExit w:val="0"/>
            <w:checkBox>
              <w:sizeAuto/>
              <w:default w:val="0"/>
            </w:checkBox>
          </w:ffData>
        </w:fldChar>
      </w:r>
      <w:r w:rsidRPr="00DF06CE">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DF06CE">
        <w:rPr>
          <w:rFonts w:ascii="Arial" w:hAnsi="Arial" w:cs="Arial"/>
          <w:sz w:val="20"/>
        </w:rPr>
        <w:fldChar w:fldCharType="end"/>
      </w:r>
      <w:r w:rsidRPr="00DF06CE">
        <w:rPr>
          <w:rFonts w:ascii="Arial" w:hAnsi="Arial" w:cs="Arial"/>
        </w:rPr>
        <w:t xml:space="preserve"> zoledronic acid</w:t>
      </w:r>
    </w:p>
    <w:p w14:paraId="3B806118" w14:textId="77777777" w:rsidR="005A377C" w:rsidRPr="00B715A2" w:rsidRDefault="005A377C">
      <w:pPr>
        <w:rPr>
          <w:rFonts w:ascii="Arial" w:hAnsi="Arial" w:cs="Arial"/>
        </w:rPr>
      </w:pPr>
      <w:r w:rsidRPr="00B715A2">
        <w:rPr>
          <w:rFonts w:ascii="Arial" w:hAnsi="Arial" w:cs="Arial"/>
        </w:rPr>
        <w:t xml:space="preserve">The first injection of denosumab was given under my care on </w:t>
      </w:r>
      <w:r w:rsidRPr="00B715A2">
        <w:rPr>
          <w:rFonts w:ascii="Arial" w:hAnsi="Arial" w:cs="Arial"/>
          <w:sz w:val="20"/>
          <w:szCs w:val="20"/>
        </w:rPr>
        <w:fldChar w:fldCharType="begin">
          <w:ffData>
            <w:name w:val="Text4"/>
            <w:enabled/>
            <w:calcOnExit w:val="0"/>
            <w:textInput/>
          </w:ffData>
        </w:fldChar>
      </w:r>
      <w:r w:rsidRPr="00B715A2">
        <w:rPr>
          <w:rFonts w:ascii="Arial" w:hAnsi="Arial" w:cs="Arial"/>
          <w:sz w:val="20"/>
          <w:szCs w:val="20"/>
        </w:rPr>
        <w:instrText xml:space="preserve"> FORMTEXT </w:instrText>
      </w:r>
      <w:r w:rsidRPr="00B715A2">
        <w:rPr>
          <w:rFonts w:ascii="Arial" w:hAnsi="Arial" w:cs="Arial"/>
          <w:sz w:val="20"/>
          <w:szCs w:val="20"/>
        </w:rPr>
      </w:r>
      <w:r w:rsidRPr="00B715A2">
        <w:rPr>
          <w:rFonts w:ascii="Arial" w:hAnsi="Arial" w:cs="Arial"/>
          <w:sz w:val="20"/>
          <w:szCs w:val="20"/>
        </w:rPr>
        <w:fldChar w:fldCharType="separate"/>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hAnsi="Arial" w:cs="Arial"/>
          <w:sz w:val="20"/>
          <w:szCs w:val="20"/>
        </w:rPr>
        <w:fldChar w:fldCharType="end"/>
      </w:r>
      <w:r w:rsidRPr="00B715A2">
        <w:rPr>
          <w:rFonts w:ascii="Arial" w:hAnsi="Arial" w:cs="Arial"/>
        </w:rPr>
        <w:t xml:space="preserve">. The next injection is due on </w:t>
      </w:r>
      <w:r w:rsidRPr="00B715A2">
        <w:rPr>
          <w:rFonts w:ascii="Arial" w:hAnsi="Arial" w:cs="Arial"/>
          <w:sz w:val="20"/>
          <w:szCs w:val="20"/>
        </w:rPr>
        <w:fldChar w:fldCharType="begin">
          <w:ffData>
            <w:name w:val="Text4"/>
            <w:enabled/>
            <w:calcOnExit w:val="0"/>
            <w:textInput/>
          </w:ffData>
        </w:fldChar>
      </w:r>
      <w:r w:rsidRPr="00B715A2">
        <w:rPr>
          <w:rFonts w:ascii="Arial" w:hAnsi="Arial" w:cs="Arial"/>
          <w:sz w:val="20"/>
          <w:szCs w:val="20"/>
        </w:rPr>
        <w:instrText xml:space="preserve"> FORMTEXT </w:instrText>
      </w:r>
      <w:r w:rsidRPr="00B715A2">
        <w:rPr>
          <w:rFonts w:ascii="Arial" w:hAnsi="Arial" w:cs="Arial"/>
          <w:sz w:val="20"/>
          <w:szCs w:val="20"/>
        </w:rPr>
      </w:r>
      <w:r w:rsidRPr="00B715A2">
        <w:rPr>
          <w:rFonts w:ascii="Arial" w:hAnsi="Arial" w:cs="Arial"/>
          <w:sz w:val="20"/>
          <w:szCs w:val="20"/>
        </w:rPr>
        <w:fldChar w:fldCharType="separate"/>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hAnsi="Arial" w:cs="Arial"/>
          <w:sz w:val="20"/>
          <w:szCs w:val="20"/>
        </w:rPr>
        <w:fldChar w:fldCharType="end"/>
      </w:r>
      <w:r w:rsidRPr="00B715A2">
        <w:rPr>
          <w:rFonts w:ascii="Arial" w:hAnsi="Arial" w:cs="Arial"/>
        </w:rPr>
        <w:t>.</w:t>
      </w:r>
    </w:p>
    <w:p w14:paraId="47199CFA" w14:textId="77777777" w:rsidR="005A377C" w:rsidRPr="00B715A2" w:rsidRDefault="005A377C">
      <w:pPr>
        <w:rPr>
          <w:rFonts w:ascii="Arial" w:hAnsi="Arial" w:cs="Arial"/>
        </w:rPr>
      </w:pPr>
      <w:r w:rsidRPr="00B715A2">
        <w:rPr>
          <w:rFonts w:ascii="Arial" w:hAnsi="Arial" w:cs="Arial"/>
          <w:sz w:val="20"/>
        </w:rPr>
        <w:fldChar w:fldCharType="begin">
          <w:ffData>
            <w:name w:val="Check13"/>
            <w:enabled/>
            <w:calcOnExit w:val="0"/>
            <w:checkBox>
              <w:sizeAuto/>
              <w:default w:val="0"/>
            </w:checkBox>
          </w:ffData>
        </w:fldChar>
      </w:r>
      <w:r w:rsidRPr="00B715A2">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B715A2">
        <w:rPr>
          <w:rFonts w:ascii="Arial" w:hAnsi="Arial" w:cs="Arial"/>
          <w:sz w:val="20"/>
        </w:rPr>
        <w:fldChar w:fldCharType="end"/>
      </w:r>
      <w:r w:rsidRPr="00B715A2">
        <w:rPr>
          <w:rFonts w:ascii="Arial" w:hAnsi="Arial" w:cs="Arial"/>
          <w:sz w:val="20"/>
        </w:rPr>
        <w:t xml:space="preserve"> </w:t>
      </w:r>
      <w:r w:rsidRPr="00F46D9C">
        <w:rPr>
          <w:rFonts w:ascii="Arial" w:hAnsi="Arial" w:cs="Arial"/>
          <w:i/>
        </w:rPr>
        <w:t>(</w:t>
      </w:r>
      <w:r w:rsidRPr="00B715A2">
        <w:rPr>
          <w:rFonts w:ascii="Arial" w:hAnsi="Arial" w:cs="Arial"/>
          <w:i/>
        </w:rPr>
        <w:t xml:space="preserve">For patients with </w:t>
      </w:r>
      <w:r>
        <w:rPr>
          <w:rFonts w:ascii="Arial" w:hAnsi="Arial" w:cs="Arial"/>
          <w:i/>
        </w:rPr>
        <w:t>eGFR 15-30ml/min)</w:t>
      </w:r>
      <w:r w:rsidRPr="00B715A2">
        <w:rPr>
          <w:rFonts w:ascii="Arial" w:hAnsi="Arial" w:cs="Arial"/>
          <w:i/>
        </w:rPr>
        <w:t xml:space="preserve"> </w:t>
      </w:r>
      <w:r w:rsidRPr="00B715A2">
        <w:rPr>
          <w:rFonts w:ascii="Arial" w:hAnsi="Arial" w:cs="Arial"/>
        </w:rPr>
        <w:t>The patient’s calcium level was checked 2 weeks after the first injection and was found to be within range</w:t>
      </w:r>
      <w:r>
        <w:rPr>
          <w:rFonts w:ascii="Arial" w:hAnsi="Arial" w:cs="Arial"/>
        </w:rPr>
        <w:t>.  T</w:t>
      </w:r>
      <w:r w:rsidRPr="00B715A2">
        <w:rPr>
          <w:rFonts w:ascii="Arial" w:hAnsi="Arial" w:cs="Arial"/>
        </w:rPr>
        <w:t>he patient was followed up at 3 months and is tolerating the treatment.  The patient is stable and it is therefore appropriate to transfer ongoing care to you.</w:t>
      </w:r>
    </w:p>
    <w:p w14:paraId="3CA7F2B2" w14:textId="77777777" w:rsidR="005A377C" w:rsidRPr="00B715A2" w:rsidRDefault="005A377C">
      <w:pPr>
        <w:rPr>
          <w:rFonts w:ascii="Arial" w:hAnsi="Arial" w:cs="Arial"/>
        </w:rPr>
      </w:pPr>
      <w:r w:rsidRPr="00B715A2">
        <w:rPr>
          <w:rFonts w:ascii="Arial" w:hAnsi="Arial" w:cs="Arial"/>
          <w:sz w:val="20"/>
        </w:rPr>
        <w:fldChar w:fldCharType="begin">
          <w:ffData>
            <w:name w:val="Check13"/>
            <w:enabled/>
            <w:calcOnExit w:val="0"/>
            <w:checkBox>
              <w:sizeAuto/>
              <w:default w:val="0"/>
            </w:checkBox>
          </w:ffData>
        </w:fldChar>
      </w:r>
      <w:r w:rsidRPr="00B715A2">
        <w:rPr>
          <w:rFonts w:ascii="Arial" w:hAnsi="Arial" w:cs="Arial"/>
          <w:sz w:val="20"/>
        </w:rPr>
        <w:instrText xml:space="preserve"> FORMCHECKBOX </w:instrText>
      </w:r>
      <w:r w:rsidR="000F28DE">
        <w:rPr>
          <w:rFonts w:ascii="Arial" w:hAnsi="Arial" w:cs="Arial"/>
          <w:sz w:val="20"/>
        </w:rPr>
      </w:r>
      <w:r w:rsidR="000F28DE">
        <w:rPr>
          <w:rFonts w:ascii="Arial" w:hAnsi="Arial" w:cs="Arial"/>
          <w:sz w:val="20"/>
        </w:rPr>
        <w:fldChar w:fldCharType="separate"/>
      </w:r>
      <w:r w:rsidRPr="00B715A2">
        <w:rPr>
          <w:rFonts w:ascii="Arial" w:hAnsi="Arial" w:cs="Arial"/>
          <w:sz w:val="20"/>
        </w:rPr>
        <w:fldChar w:fldCharType="end"/>
      </w:r>
      <w:r>
        <w:rPr>
          <w:rFonts w:ascii="Arial" w:hAnsi="Arial" w:cs="Arial"/>
          <w:sz w:val="20"/>
        </w:rPr>
        <w:t xml:space="preserve"> </w:t>
      </w:r>
      <w:r w:rsidRPr="00F46D9C">
        <w:rPr>
          <w:rFonts w:ascii="Arial" w:hAnsi="Arial" w:cs="Arial"/>
          <w:i/>
        </w:rPr>
        <w:t>(</w:t>
      </w:r>
      <w:r w:rsidRPr="00B715A2">
        <w:rPr>
          <w:rFonts w:ascii="Arial" w:hAnsi="Arial" w:cs="Arial"/>
          <w:i/>
        </w:rPr>
        <w:t>For all other patients)</w:t>
      </w:r>
      <w:r w:rsidRPr="00B715A2">
        <w:rPr>
          <w:rFonts w:ascii="Arial" w:hAnsi="Arial" w:cs="Arial"/>
          <w:i/>
          <w:sz w:val="20"/>
        </w:rPr>
        <w:t xml:space="preserve"> </w:t>
      </w:r>
      <w:r w:rsidRPr="00B715A2">
        <w:rPr>
          <w:rFonts w:ascii="Arial" w:hAnsi="Arial" w:cs="Arial"/>
          <w:sz w:val="20"/>
        </w:rPr>
        <w:t>T</w:t>
      </w:r>
      <w:r w:rsidRPr="00B715A2">
        <w:rPr>
          <w:rFonts w:ascii="Arial" w:hAnsi="Arial" w:cs="Arial"/>
        </w:rPr>
        <w:t>he patient was followed up at 3 months and is tolerating the treatment.  The patient is stable and it is therefore appropriate to transfer ongoing care to you.</w:t>
      </w:r>
    </w:p>
    <w:p w14:paraId="12166245" w14:textId="77777777" w:rsidR="005A377C" w:rsidRPr="00B715A2" w:rsidRDefault="005A377C">
      <w:pPr>
        <w:rPr>
          <w:rFonts w:ascii="Arial" w:hAnsi="Arial" w:cs="Arial"/>
        </w:rPr>
      </w:pPr>
      <w:r w:rsidRPr="00B715A2">
        <w:rPr>
          <w:rFonts w:ascii="Arial" w:hAnsi="Arial" w:cs="Arial"/>
        </w:rPr>
        <w:t>Denosumab</w:t>
      </w:r>
      <w:r w:rsidR="00022E09" w:rsidRPr="00022E09">
        <w:rPr>
          <w:rFonts w:ascii="Arial" w:hAnsi="Arial" w:cs="Arial"/>
        </w:rPr>
        <w:t xml:space="preserve"> </w:t>
      </w:r>
      <w:r w:rsidR="00022E09" w:rsidRPr="00B715A2">
        <w:rPr>
          <w:rFonts w:ascii="Arial" w:hAnsi="Arial" w:cs="Arial"/>
        </w:rPr>
        <w:t>as the Prolia</w:t>
      </w:r>
      <w:r w:rsidR="00022E09" w:rsidRPr="007577CA">
        <w:rPr>
          <w:rFonts w:ascii="Arial" w:hAnsi="Arial" w:cs="Arial"/>
          <w:vertAlign w:val="superscript"/>
        </w:rPr>
        <w:t>®</w:t>
      </w:r>
      <w:r w:rsidR="00022E09" w:rsidRPr="00B715A2">
        <w:rPr>
          <w:rFonts w:ascii="Arial" w:hAnsi="Arial" w:cs="Arial"/>
        </w:rPr>
        <w:t xml:space="preserve"> brand (60mg once every 6 months</w:t>
      </w:r>
      <w:r w:rsidR="00022E09">
        <w:rPr>
          <w:rFonts w:ascii="Arial" w:hAnsi="Arial" w:cs="Arial"/>
        </w:rPr>
        <w:t>)</w:t>
      </w:r>
      <w:r w:rsidRPr="00B715A2">
        <w:rPr>
          <w:rFonts w:ascii="Arial" w:hAnsi="Arial" w:cs="Arial"/>
        </w:rPr>
        <w:t xml:space="preserve"> is licensed and recommended by NICE (TA 204) for use in osteoporosis in post-menopausal women</w:t>
      </w:r>
      <w:r w:rsidR="006E593E">
        <w:rPr>
          <w:rFonts w:ascii="Arial" w:hAnsi="Arial" w:cs="Arial"/>
        </w:rPr>
        <w:t xml:space="preserve"> and</w:t>
      </w:r>
      <w:r w:rsidR="00022E09">
        <w:rPr>
          <w:rFonts w:ascii="Arial" w:hAnsi="Arial" w:cs="Arial"/>
        </w:rPr>
        <w:t xml:space="preserve"> is also licensed (although not considered by NICE)</w:t>
      </w:r>
      <w:r w:rsidR="006E593E">
        <w:rPr>
          <w:rFonts w:ascii="Arial" w:hAnsi="Arial" w:cs="Arial"/>
        </w:rPr>
        <w:t xml:space="preserve"> for osteoporosis in men</w:t>
      </w:r>
      <w:r w:rsidRPr="00B715A2">
        <w:rPr>
          <w:rFonts w:ascii="Arial" w:hAnsi="Arial" w:cs="Arial"/>
        </w:rPr>
        <w:t xml:space="preserve">. </w:t>
      </w:r>
      <w:r w:rsidR="003267B9">
        <w:rPr>
          <w:rFonts w:ascii="Arial" w:hAnsi="Arial" w:cs="Arial"/>
        </w:rPr>
        <w:t xml:space="preserve">It is for one of these indications </w:t>
      </w:r>
      <w:r w:rsidR="00DA35BB">
        <w:rPr>
          <w:rFonts w:ascii="Arial" w:hAnsi="Arial" w:cs="Arial"/>
        </w:rPr>
        <w:t>that</w:t>
      </w:r>
      <w:r w:rsidRPr="00B715A2">
        <w:rPr>
          <w:rFonts w:ascii="Arial" w:hAnsi="Arial" w:cs="Arial"/>
        </w:rPr>
        <w:t xml:space="preserve"> I have commenced denosumab for your patient.  </w:t>
      </w:r>
    </w:p>
    <w:p w14:paraId="7FC4AF1A" w14:textId="341FF7AB" w:rsidR="005A377C" w:rsidRPr="00B715A2" w:rsidRDefault="005A377C" w:rsidP="00121769">
      <w:pPr>
        <w:rPr>
          <w:rFonts w:ascii="Arial" w:hAnsi="Arial" w:cs="Arial"/>
        </w:rPr>
      </w:pPr>
      <w:r w:rsidRPr="00403284">
        <w:rPr>
          <w:rFonts w:ascii="Arial" w:hAnsi="Arial" w:cs="Arial"/>
        </w:rPr>
        <w:t>Unlike bisphosphonates the beneficial effects on bone density begin to decline as soon as a dose is missed</w:t>
      </w:r>
      <w:r w:rsidR="00CE076A" w:rsidRPr="00403284">
        <w:rPr>
          <w:rFonts w:ascii="Arial" w:hAnsi="Arial" w:cs="Arial"/>
        </w:rPr>
        <w:t xml:space="preserve">. </w:t>
      </w:r>
      <w:r w:rsidR="00DE6E60" w:rsidRPr="00403284">
        <w:rPr>
          <w:rFonts w:ascii="Arial" w:hAnsi="Arial" w:cs="Arial"/>
        </w:rPr>
        <w:t>It is therefore important to deliver the</w:t>
      </w:r>
      <w:r w:rsidR="00CE076A" w:rsidRPr="00403284">
        <w:rPr>
          <w:rFonts w:ascii="Arial" w:hAnsi="Arial" w:cs="Arial"/>
        </w:rPr>
        <w:t xml:space="preserve"> injection on time and </w:t>
      </w:r>
      <w:r w:rsidR="00DE6E60" w:rsidRPr="00403284">
        <w:rPr>
          <w:rFonts w:ascii="Arial" w:hAnsi="Arial" w:cs="Arial"/>
        </w:rPr>
        <w:t xml:space="preserve">preferably </w:t>
      </w:r>
      <w:r w:rsidR="00CE076A" w:rsidRPr="00403284">
        <w:rPr>
          <w:rFonts w:ascii="Arial" w:hAnsi="Arial" w:cs="Arial"/>
        </w:rPr>
        <w:t>no more than 2 weeks either side of the due date</w:t>
      </w:r>
      <w:r w:rsidRPr="00403284">
        <w:rPr>
          <w:rFonts w:ascii="Arial" w:hAnsi="Arial" w:cs="Arial"/>
        </w:rPr>
        <w:t xml:space="preserve">. I have discussed this with your patient, and the importance of arranging a prescription every 6 months so that </w:t>
      </w:r>
      <w:r w:rsidR="00DE6E60" w:rsidRPr="00403284">
        <w:rPr>
          <w:rFonts w:ascii="Arial" w:hAnsi="Arial" w:cs="Arial"/>
        </w:rPr>
        <w:t xml:space="preserve">timely </w:t>
      </w:r>
      <w:r w:rsidRPr="00B715A2">
        <w:rPr>
          <w:rFonts w:ascii="Arial" w:hAnsi="Arial" w:cs="Arial"/>
        </w:rPr>
        <w:t xml:space="preserve">injections continue twice yearly. I have provided the patient with information about how to access the patient support programme provided by the drug manufacturer. They are also aware that you will not be able to issue a prescription for denosumab if they have not had their calcium level checked, or if it is low.  Please </w:t>
      </w:r>
      <w:proofErr w:type="gramStart"/>
      <w:r w:rsidRPr="00B715A2">
        <w:rPr>
          <w:rFonts w:ascii="Arial" w:hAnsi="Arial" w:cs="Arial"/>
        </w:rPr>
        <w:t>make arrangements</w:t>
      </w:r>
      <w:proofErr w:type="gramEnd"/>
      <w:r w:rsidRPr="00B715A2">
        <w:rPr>
          <w:rFonts w:ascii="Arial" w:hAnsi="Arial" w:cs="Arial"/>
        </w:rPr>
        <w:t xml:space="preserve"> to </w:t>
      </w:r>
      <w:r w:rsidRPr="009032FD">
        <w:rPr>
          <w:rFonts w:ascii="Arial" w:hAnsi="Arial" w:cs="Arial"/>
          <w:b/>
          <w:bCs/>
        </w:rPr>
        <w:t xml:space="preserve">check calcium </w:t>
      </w:r>
      <w:r w:rsidR="0059782E" w:rsidRPr="009032FD">
        <w:rPr>
          <w:rFonts w:ascii="Arial" w:hAnsi="Arial" w:cs="Arial"/>
          <w:b/>
          <w:bCs/>
        </w:rPr>
        <w:t xml:space="preserve">and vitamin D </w:t>
      </w:r>
      <w:r w:rsidRPr="009032FD">
        <w:rPr>
          <w:rFonts w:ascii="Arial" w:hAnsi="Arial" w:cs="Arial"/>
          <w:b/>
          <w:bCs/>
        </w:rPr>
        <w:t>levels 4 weeks prior to the date of any future injections</w:t>
      </w:r>
      <w:r w:rsidRPr="00B715A2">
        <w:rPr>
          <w:rFonts w:ascii="Arial" w:hAnsi="Arial" w:cs="Arial"/>
        </w:rPr>
        <w:t>, and for an appointment with the practice nurse for the patient or his/her carer to be taught to self-administer the first injection prescribed by you.</w:t>
      </w:r>
    </w:p>
    <w:p w14:paraId="377E87EF" w14:textId="3DA84A86" w:rsidR="005A377C" w:rsidRPr="00B715A2" w:rsidRDefault="005A377C" w:rsidP="00F519A6">
      <w:pPr>
        <w:rPr>
          <w:rFonts w:ascii="Arial" w:hAnsi="Arial" w:cs="Arial"/>
        </w:rPr>
      </w:pPr>
      <w:r w:rsidRPr="00B715A2">
        <w:rPr>
          <w:rFonts w:ascii="Arial" w:hAnsi="Arial" w:cs="Arial"/>
        </w:rPr>
        <w:t xml:space="preserve">Denosumab is </w:t>
      </w:r>
      <w:r w:rsidRPr="009032FD">
        <w:rPr>
          <w:rFonts w:ascii="Arial" w:hAnsi="Arial" w:cs="Arial"/>
        </w:rPr>
        <w:t xml:space="preserve">placed after </w:t>
      </w:r>
      <w:r w:rsidR="00DA35BB" w:rsidRPr="009032FD">
        <w:rPr>
          <w:rFonts w:ascii="Arial" w:hAnsi="Arial" w:cs="Arial"/>
        </w:rPr>
        <w:t xml:space="preserve">the </w:t>
      </w:r>
      <w:r w:rsidRPr="009032FD">
        <w:rPr>
          <w:rFonts w:ascii="Arial" w:hAnsi="Arial" w:cs="Arial"/>
        </w:rPr>
        <w:t xml:space="preserve">oral </w:t>
      </w:r>
      <w:proofErr w:type="gramStart"/>
      <w:r w:rsidRPr="009032FD">
        <w:rPr>
          <w:rFonts w:ascii="Arial" w:hAnsi="Arial" w:cs="Arial"/>
        </w:rPr>
        <w:t>bisphosphonate</w:t>
      </w:r>
      <w:r w:rsidR="00DA35BB" w:rsidRPr="009032FD">
        <w:rPr>
          <w:rFonts w:ascii="Arial" w:hAnsi="Arial" w:cs="Arial"/>
        </w:rPr>
        <w:t>s</w:t>
      </w:r>
      <w:proofErr w:type="gramEnd"/>
      <w:r w:rsidRPr="009032FD">
        <w:rPr>
          <w:rFonts w:ascii="Arial" w:hAnsi="Arial" w:cs="Arial"/>
        </w:rPr>
        <w:t xml:space="preserve"> alendronate and risedronate, and IV zoledronic acid in the Hertfordshire </w:t>
      </w:r>
      <w:r w:rsidR="00694EBE" w:rsidRPr="009032FD">
        <w:rPr>
          <w:rFonts w:ascii="Arial" w:hAnsi="Arial" w:cs="Arial"/>
        </w:rPr>
        <w:t xml:space="preserve">and west Essex </w:t>
      </w:r>
      <w:r w:rsidRPr="009032FD">
        <w:rPr>
          <w:rFonts w:ascii="Arial" w:hAnsi="Arial" w:cs="Arial"/>
        </w:rPr>
        <w:t>Guidelines</w:t>
      </w:r>
      <w:r w:rsidRPr="00B715A2">
        <w:rPr>
          <w:rFonts w:ascii="Arial" w:hAnsi="Arial" w:cs="Arial"/>
        </w:rPr>
        <w:t xml:space="preserve"> on Management of Osteoporosis, because it is a </w:t>
      </w:r>
      <w:r w:rsidR="007378AE">
        <w:rPr>
          <w:rFonts w:ascii="Arial" w:hAnsi="Arial" w:cs="Arial"/>
        </w:rPr>
        <w:t xml:space="preserve">relatively </w:t>
      </w:r>
      <w:r w:rsidRPr="00B715A2">
        <w:rPr>
          <w:rFonts w:ascii="Arial" w:hAnsi="Arial" w:cs="Arial"/>
        </w:rPr>
        <w:t>new drug</w:t>
      </w:r>
      <w:r w:rsidR="007378AE">
        <w:rPr>
          <w:rFonts w:ascii="Arial" w:hAnsi="Arial" w:cs="Arial"/>
        </w:rPr>
        <w:t xml:space="preserve"> (10+ years safety data available)</w:t>
      </w:r>
      <w:r w:rsidRPr="00B715A2">
        <w:rPr>
          <w:rFonts w:ascii="Arial" w:hAnsi="Arial" w:cs="Arial"/>
        </w:rPr>
        <w:t xml:space="preserve">, </w:t>
      </w:r>
      <w:r w:rsidR="007378AE">
        <w:rPr>
          <w:rFonts w:ascii="Arial" w:hAnsi="Arial" w:cs="Arial"/>
        </w:rPr>
        <w:t xml:space="preserve">and </w:t>
      </w:r>
      <w:r w:rsidRPr="00B715A2">
        <w:rPr>
          <w:rFonts w:ascii="Arial" w:hAnsi="Arial" w:cs="Arial"/>
        </w:rPr>
        <w:t xml:space="preserve">is more expensive than the other treatments and has to be given by injection. </w:t>
      </w:r>
      <w:r>
        <w:rPr>
          <w:rFonts w:ascii="Arial" w:hAnsi="Arial" w:cs="Arial"/>
        </w:rPr>
        <w:t xml:space="preserve">Following changes in the licensing of strontium in March 2014, it is now placed ahead of strontium.  </w:t>
      </w:r>
    </w:p>
    <w:p w14:paraId="0C31AFAC" w14:textId="77777777" w:rsidR="005A377C" w:rsidRPr="00B715A2" w:rsidRDefault="005A377C">
      <w:pPr>
        <w:rPr>
          <w:rFonts w:ascii="Arial" w:hAnsi="Arial" w:cs="Arial"/>
        </w:rPr>
      </w:pPr>
      <w:r w:rsidRPr="00B715A2">
        <w:rPr>
          <w:rFonts w:ascii="Arial" w:hAnsi="Arial" w:cs="Arial"/>
        </w:rPr>
        <w:t xml:space="preserve">There have been recent reports of severe low calcium levels with all doses of denosumab, although fatalities only occurred in the group of patient receiving the higher dose and frequency associated with the </w:t>
      </w:r>
      <w:r w:rsidRPr="00B715A2">
        <w:rPr>
          <w:rFonts w:ascii="Arial" w:hAnsi="Arial" w:cs="Arial"/>
        </w:rPr>
        <w:lastRenderedPageBreak/>
        <w:t>XGEVA</w:t>
      </w:r>
      <w:r w:rsidRPr="00C11577">
        <w:rPr>
          <w:rFonts w:ascii="Arial" w:hAnsi="Arial" w:cs="Arial"/>
          <w:vertAlign w:val="superscript"/>
        </w:rPr>
        <w:t>®</w:t>
      </w:r>
      <w:r w:rsidRPr="00B715A2">
        <w:rPr>
          <w:rFonts w:ascii="Arial" w:hAnsi="Arial" w:cs="Arial"/>
        </w:rPr>
        <w:t xml:space="preserve"> brand (for specialist prescribing only for the prevention of skeletal related events in adults with bone metastases from solid tumours).</w:t>
      </w:r>
    </w:p>
    <w:p w14:paraId="692D16C6" w14:textId="77777777" w:rsidR="005A377C" w:rsidRPr="00B715A2" w:rsidRDefault="005A377C">
      <w:pPr>
        <w:rPr>
          <w:rFonts w:ascii="Arial" w:hAnsi="Arial" w:cs="Arial"/>
        </w:rPr>
      </w:pPr>
      <w:r w:rsidRPr="00B715A2">
        <w:rPr>
          <w:rFonts w:ascii="Arial" w:hAnsi="Arial" w:cs="Arial"/>
        </w:rPr>
        <w:t>I have discussed the symptoms associated with a low calcium level (muscle spasms, numbness and tingling) and your patient knows to seek advice if they develop these symptoms as they will need their calcium level checking. Calcium levels should be routinely checked no more than 4 weeks before every injection</w:t>
      </w:r>
      <w:r w:rsidR="005B0549">
        <w:rPr>
          <w:rFonts w:ascii="Arial" w:hAnsi="Arial" w:cs="Arial"/>
        </w:rPr>
        <w:t xml:space="preserve"> </w:t>
      </w:r>
      <w:r w:rsidR="005B0549" w:rsidRPr="006F6AE5">
        <w:rPr>
          <w:rFonts w:ascii="Arial" w:hAnsi="Arial" w:cs="Arial"/>
          <w:lang w:eastAsia="en-GB"/>
        </w:rPr>
        <w:t xml:space="preserve">(2 weeks prior in patients with </w:t>
      </w:r>
      <w:r w:rsidR="005B0549" w:rsidRPr="006F6AE5">
        <w:rPr>
          <w:rFonts w:ascii="Arial" w:hAnsi="Arial"/>
        </w:rPr>
        <w:t>eGFR less than 30ml/min)</w:t>
      </w:r>
      <w:r w:rsidRPr="00B715A2">
        <w:rPr>
          <w:rFonts w:ascii="Arial" w:hAnsi="Arial" w:cs="Arial"/>
        </w:rPr>
        <w:t xml:space="preserve">. DO NOT GIVE THE NEXT INJECTION/PROVIDE A PRESCRIPTION FOR SELF-ADMINISTRATION IF THE CALCIUM LEVEL IS BELOW THE </w:t>
      </w:r>
      <w:smartTag w:uri="urn:schemas-microsoft-com:office:smarttags" w:element="PlaceName">
        <w:smartTag w:uri="urn:schemas-microsoft-com:office:smarttags" w:element="place">
          <w:r w:rsidRPr="00B715A2">
            <w:rPr>
              <w:rFonts w:ascii="Arial" w:hAnsi="Arial" w:cs="Arial"/>
            </w:rPr>
            <w:t>NORMAL</w:t>
          </w:r>
        </w:smartTag>
        <w:r w:rsidRPr="00B715A2">
          <w:rPr>
            <w:rFonts w:ascii="Arial" w:hAnsi="Arial" w:cs="Arial"/>
          </w:rPr>
          <w:t xml:space="preserve"> </w:t>
        </w:r>
        <w:smartTag w:uri="urn:schemas-microsoft-com:office:smarttags" w:element="PlaceType">
          <w:r w:rsidRPr="00B715A2">
            <w:rPr>
              <w:rFonts w:ascii="Arial" w:hAnsi="Arial" w:cs="Arial"/>
            </w:rPr>
            <w:t>RANGE</w:t>
          </w:r>
        </w:smartTag>
      </w:smartTag>
      <w:r w:rsidRPr="00B715A2">
        <w:rPr>
          <w:rFonts w:ascii="Arial" w:hAnsi="Arial" w:cs="Arial"/>
        </w:rPr>
        <w:t xml:space="preserve">, BUT SEEK URGENT ADVICE FROM ME ABOUT ON-GOING TREATMENT. </w:t>
      </w:r>
    </w:p>
    <w:p w14:paraId="01CF9A1A" w14:textId="77777777" w:rsidR="005A377C" w:rsidRPr="00B715A2" w:rsidRDefault="005A377C">
      <w:pPr>
        <w:rPr>
          <w:rFonts w:ascii="Arial" w:hAnsi="Arial" w:cs="Arial"/>
        </w:rPr>
      </w:pPr>
      <w:r w:rsidRPr="00B715A2">
        <w:rPr>
          <w:rFonts w:ascii="Arial" w:hAnsi="Arial" w:cs="Arial"/>
        </w:rPr>
        <w:t xml:space="preserve">Renal function should also be checked. If the eGFR </w:t>
      </w:r>
      <w:r>
        <w:rPr>
          <w:rFonts w:ascii="Arial" w:hAnsi="Arial" w:cs="Arial"/>
        </w:rPr>
        <w:t>has dropped below 15ml/min</w:t>
      </w:r>
      <w:r w:rsidR="00373996">
        <w:rPr>
          <w:rFonts w:ascii="Arial" w:hAnsi="Arial" w:cs="Arial"/>
        </w:rPr>
        <w:t>,</w:t>
      </w:r>
      <w:r w:rsidRPr="00B715A2">
        <w:rPr>
          <w:rFonts w:ascii="Arial" w:hAnsi="Arial" w:cs="Arial"/>
        </w:rPr>
        <w:t xml:space="preserve"> DO NOT GIVE THE NEXT INJECTION/PROVIDE A PRESCRIPTION FOR SELF-ADMINISTRATION, BUT SEEK URGENT ADVICE FROM ME ABOUT ON-GOING TREATMENT.</w:t>
      </w:r>
    </w:p>
    <w:p w14:paraId="145787B4" w14:textId="77777777" w:rsidR="005A377C" w:rsidRDefault="005A377C" w:rsidP="00107E1E">
      <w:pPr>
        <w:spacing w:after="0"/>
        <w:rPr>
          <w:rFonts w:ascii="Arial" w:hAnsi="Arial" w:cs="Arial"/>
        </w:rPr>
      </w:pPr>
      <w:r w:rsidRPr="00B715A2">
        <w:rPr>
          <w:rFonts w:ascii="Arial" w:hAnsi="Arial" w:cs="Arial"/>
        </w:rPr>
        <w:t xml:space="preserve">If the eGFR is between 15 and 30 </w:t>
      </w:r>
      <w:r>
        <w:rPr>
          <w:rFonts w:ascii="Arial" w:hAnsi="Arial" w:cs="Arial"/>
        </w:rPr>
        <w:t>ml/min</w:t>
      </w:r>
      <w:r w:rsidRPr="00B715A2">
        <w:rPr>
          <w:rFonts w:ascii="Arial" w:hAnsi="Arial" w:cs="Arial"/>
        </w:rPr>
        <w:t>, recheck the calcium 2 weeks after the next injection (hypocalcaemia is more common in those with renal impairment).</w:t>
      </w:r>
    </w:p>
    <w:p w14:paraId="7CFDB6F7" w14:textId="77777777" w:rsidR="005A377C" w:rsidRPr="00B715A2" w:rsidRDefault="005A377C" w:rsidP="00107E1E">
      <w:pPr>
        <w:spacing w:after="0"/>
        <w:rPr>
          <w:rFonts w:ascii="Arial" w:hAnsi="Arial" w:cs="Arial"/>
        </w:rPr>
      </w:pPr>
    </w:p>
    <w:p w14:paraId="2C6129E0" w14:textId="6DB92B5D" w:rsidR="005A377C" w:rsidRPr="00C11577" w:rsidRDefault="005A377C" w:rsidP="00107E1E">
      <w:pPr>
        <w:spacing w:after="0"/>
        <w:rPr>
          <w:rFonts w:ascii="Arial" w:hAnsi="Arial" w:cs="Arial"/>
        </w:rPr>
      </w:pPr>
      <w:r w:rsidRPr="00C11577">
        <w:rPr>
          <w:rFonts w:ascii="Arial" w:hAnsi="Arial" w:cs="Arial"/>
        </w:rPr>
        <w:t>I have discussed the need to take on-going calcium and vitamin D su</w:t>
      </w:r>
      <w:r>
        <w:rPr>
          <w:rFonts w:ascii="Arial" w:hAnsi="Arial" w:cs="Arial"/>
        </w:rPr>
        <w:t xml:space="preserve">pplements, in order to make </w:t>
      </w:r>
      <w:r w:rsidRPr="00C11577">
        <w:rPr>
          <w:rFonts w:ascii="Arial" w:hAnsi="Arial" w:cs="Arial"/>
        </w:rPr>
        <w:t xml:space="preserve">denosumab treatment effective, and to reduce the risk of developing low calcium levels.  Supplements should usually provide a daily dose of 1-1.2 grams of calcium and 20 micrograms (800IU) of vitamin D. </w:t>
      </w:r>
      <w:r>
        <w:rPr>
          <w:rFonts w:ascii="Arial" w:hAnsi="Arial" w:cs="Arial"/>
        </w:rPr>
        <w:t xml:space="preserve">For your </w:t>
      </w:r>
      <w:r w:rsidRPr="00C11577">
        <w:rPr>
          <w:rFonts w:ascii="Arial" w:hAnsi="Arial" w:cs="Arial"/>
        </w:rPr>
        <w:t xml:space="preserve">patient, I would recommend supplementing with </w:t>
      </w:r>
      <w:r w:rsidRPr="00C11577">
        <w:rPr>
          <w:rFonts w:ascii="Arial" w:hAnsi="Arial" w:cs="Arial"/>
        </w:rPr>
        <w:fldChar w:fldCharType="begin">
          <w:ffData>
            <w:name w:val="Text4"/>
            <w:enabled/>
            <w:calcOnExit w:val="0"/>
            <w:textInput/>
          </w:ffData>
        </w:fldChar>
      </w:r>
      <w:r w:rsidRPr="00C11577">
        <w:rPr>
          <w:rFonts w:ascii="Arial" w:hAnsi="Arial" w:cs="Arial"/>
        </w:rPr>
        <w:instrText xml:space="preserve"> FORMTEXT </w:instrText>
      </w:r>
      <w:r w:rsidRPr="00C11577">
        <w:rPr>
          <w:rFonts w:ascii="Arial" w:hAnsi="Arial" w:cs="Arial"/>
        </w:rPr>
      </w:r>
      <w:r w:rsidRPr="00C11577">
        <w:rPr>
          <w:rFonts w:ascii="Arial" w:hAnsi="Arial" w:cs="Arial"/>
        </w:rPr>
        <w:fldChar w:fldCharType="separate"/>
      </w:r>
      <w:r w:rsidRPr="00C11577">
        <w:rPr>
          <w:rFonts w:ascii="Arial" w:eastAsia="Arial Unicode MS" w:hAnsi="Arial Unicode MS" w:cs="Arial" w:hint="eastAsia"/>
          <w:noProof/>
        </w:rPr>
        <w:t> </w:t>
      </w:r>
      <w:r w:rsidRPr="00C11577">
        <w:rPr>
          <w:rFonts w:ascii="Arial" w:eastAsia="Arial Unicode MS" w:hAnsi="Arial Unicode MS" w:cs="Arial" w:hint="eastAsia"/>
          <w:noProof/>
        </w:rPr>
        <w:t> </w:t>
      </w:r>
      <w:r w:rsidRPr="00C11577">
        <w:rPr>
          <w:rFonts w:ascii="Arial" w:eastAsia="Arial Unicode MS" w:hAnsi="Arial Unicode MS" w:cs="Arial" w:hint="eastAsia"/>
          <w:noProof/>
        </w:rPr>
        <w:t> </w:t>
      </w:r>
      <w:r w:rsidRPr="00C11577">
        <w:rPr>
          <w:rFonts w:ascii="Arial" w:eastAsia="Arial Unicode MS" w:hAnsi="Arial Unicode MS" w:cs="Arial" w:hint="eastAsia"/>
          <w:noProof/>
        </w:rPr>
        <w:t> </w:t>
      </w:r>
      <w:r w:rsidRPr="00C11577">
        <w:rPr>
          <w:rFonts w:ascii="Arial" w:eastAsia="Arial Unicode MS" w:hAnsi="Arial Unicode MS" w:cs="Arial" w:hint="eastAsia"/>
          <w:noProof/>
        </w:rPr>
        <w:t> </w:t>
      </w:r>
      <w:r w:rsidRPr="00C11577">
        <w:rPr>
          <w:rFonts w:ascii="Arial" w:hAnsi="Arial" w:cs="Arial"/>
        </w:rPr>
        <w:fldChar w:fldCharType="end"/>
      </w:r>
      <w:r w:rsidRPr="00C11577">
        <w:rPr>
          <w:rFonts w:ascii="Arial" w:hAnsi="Arial" w:cs="Arial"/>
        </w:rPr>
        <w:t xml:space="preserve"> grams calcium and </w:t>
      </w:r>
      <w:r w:rsidRPr="00C11577">
        <w:rPr>
          <w:rFonts w:ascii="Arial" w:hAnsi="Arial" w:cs="Arial"/>
        </w:rPr>
        <w:fldChar w:fldCharType="begin">
          <w:ffData>
            <w:name w:val="Text4"/>
            <w:enabled/>
            <w:calcOnExit w:val="0"/>
            <w:textInput/>
          </w:ffData>
        </w:fldChar>
      </w:r>
      <w:r w:rsidRPr="00C11577">
        <w:rPr>
          <w:rFonts w:ascii="Arial" w:hAnsi="Arial" w:cs="Arial"/>
        </w:rPr>
        <w:instrText xml:space="preserve"> FORMTEXT </w:instrText>
      </w:r>
      <w:r w:rsidRPr="00C11577">
        <w:rPr>
          <w:rFonts w:ascii="Arial" w:hAnsi="Arial" w:cs="Arial"/>
        </w:rPr>
      </w:r>
      <w:r w:rsidRPr="00C11577">
        <w:rPr>
          <w:rFonts w:ascii="Arial" w:hAnsi="Arial" w:cs="Arial"/>
        </w:rPr>
        <w:fldChar w:fldCharType="separate"/>
      </w:r>
      <w:r w:rsidRPr="00C11577">
        <w:rPr>
          <w:rFonts w:ascii="Arial" w:eastAsia="Arial Unicode MS" w:hAnsi="Arial Unicode MS" w:cs="Arial" w:hint="eastAsia"/>
          <w:noProof/>
        </w:rPr>
        <w:t> </w:t>
      </w:r>
      <w:r w:rsidRPr="00C11577">
        <w:rPr>
          <w:rFonts w:ascii="Arial" w:eastAsia="Arial Unicode MS" w:hAnsi="Arial Unicode MS" w:cs="Arial" w:hint="eastAsia"/>
          <w:noProof/>
        </w:rPr>
        <w:t> </w:t>
      </w:r>
      <w:r w:rsidRPr="00C11577">
        <w:rPr>
          <w:rFonts w:ascii="Arial" w:eastAsia="Arial Unicode MS" w:hAnsi="Arial Unicode MS" w:cs="Arial" w:hint="eastAsia"/>
          <w:noProof/>
        </w:rPr>
        <w:t> </w:t>
      </w:r>
      <w:r w:rsidRPr="00C11577">
        <w:rPr>
          <w:rFonts w:ascii="Arial" w:eastAsia="Arial Unicode MS" w:hAnsi="Arial Unicode MS" w:cs="Arial" w:hint="eastAsia"/>
          <w:noProof/>
        </w:rPr>
        <w:t> </w:t>
      </w:r>
      <w:r w:rsidRPr="00C11577">
        <w:rPr>
          <w:rFonts w:ascii="Arial" w:eastAsia="Arial Unicode MS" w:hAnsi="Arial Unicode MS" w:cs="Arial" w:hint="eastAsia"/>
          <w:noProof/>
        </w:rPr>
        <w:t> </w:t>
      </w:r>
      <w:r w:rsidRPr="00C11577">
        <w:rPr>
          <w:rFonts w:ascii="Arial" w:hAnsi="Arial" w:cs="Arial"/>
        </w:rPr>
        <w:fldChar w:fldCharType="end"/>
      </w:r>
      <w:r w:rsidRPr="00C11577">
        <w:rPr>
          <w:rFonts w:ascii="Arial" w:hAnsi="Arial" w:cs="Arial"/>
        </w:rPr>
        <w:t xml:space="preserve"> units of vitamin D</w:t>
      </w:r>
      <w:r>
        <w:rPr>
          <w:rFonts w:ascii="Arial" w:hAnsi="Arial" w:cs="Arial"/>
        </w:rPr>
        <w:t xml:space="preserve"> daily</w:t>
      </w:r>
      <w:r w:rsidRPr="00C11577">
        <w:rPr>
          <w:rFonts w:ascii="Arial" w:hAnsi="Arial" w:cs="Arial"/>
        </w:rPr>
        <w:t>.  Please ensure that a suitable product is added to the patient’s repeat prescription list to help them maintain a stable supply.</w:t>
      </w:r>
    </w:p>
    <w:p w14:paraId="269051DD" w14:textId="77777777" w:rsidR="005A377C" w:rsidRDefault="005A377C" w:rsidP="00C11577">
      <w:pPr>
        <w:spacing w:after="0"/>
        <w:rPr>
          <w:rFonts w:ascii="Arial" w:hAnsi="Arial" w:cs="Arial"/>
        </w:rPr>
      </w:pPr>
    </w:p>
    <w:p w14:paraId="410A5BDD" w14:textId="7649C496" w:rsidR="008752AF" w:rsidRPr="009032FD" w:rsidRDefault="008752AF" w:rsidP="00C11577">
      <w:pPr>
        <w:rPr>
          <w:rFonts w:ascii="Arial" w:hAnsi="Arial" w:cs="Arial"/>
        </w:rPr>
      </w:pPr>
      <w:r>
        <w:rPr>
          <w:rFonts w:ascii="Arial" w:hAnsi="Arial" w:cs="Arial"/>
        </w:rPr>
        <w:t>Given the risk of osteonecrosis of the jaw</w:t>
      </w:r>
      <w:r w:rsidR="00373996">
        <w:rPr>
          <w:rFonts w:ascii="Arial" w:hAnsi="Arial" w:cs="Arial"/>
        </w:rPr>
        <w:t>,</w:t>
      </w:r>
      <w:r>
        <w:rPr>
          <w:rFonts w:ascii="Arial" w:hAnsi="Arial" w:cs="Arial"/>
        </w:rPr>
        <w:t xml:space="preserve"> </w:t>
      </w:r>
      <w:r w:rsidRPr="00B715A2">
        <w:rPr>
          <w:rFonts w:ascii="Arial" w:hAnsi="Arial" w:cs="Arial"/>
        </w:rPr>
        <w:t xml:space="preserve">I have discussed the </w:t>
      </w:r>
      <w:r>
        <w:rPr>
          <w:rFonts w:ascii="Arial" w:hAnsi="Arial" w:cs="Arial"/>
        </w:rPr>
        <w:t xml:space="preserve">precautions to take </w:t>
      </w:r>
      <w:r w:rsidRPr="00B715A2">
        <w:rPr>
          <w:rFonts w:ascii="Arial" w:hAnsi="Arial" w:cs="Arial"/>
        </w:rPr>
        <w:t>(</w:t>
      </w:r>
      <w:r>
        <w:rPr>
          <w:rFonts w:ascii="Arial" w:hAnsi="Arial" w:cs="Arial"/>
        </w:rPr>
        <w:t>maintaining good oral hygiene, need for routine dental check-ups, telling doctor and dentist if they need dental treatment/surgery, and telling doctor and dentist immediately if they have any problems with their mouth or teeth during treatment</w:t>
      </w:r>
      <w:r w:rsidRPr="00B715A2">
        <w:rPr>
          <w:rFonts w:ascii="Arial" w:hAnsi="Arial" w:cs="Arial"/>
        </w:rPr>
        <w:t>).</w:t>
      </w:r>
      <w:r>
        <w:rPr>
          <w:rFonts w:ascii="Arial" w:hAnsi="Arial" w:cs="Arial"/>
        </w:rPr>
        <w:t xml:space="preserve"> I have also discussed the risk of osteonecrosis of the external auditory canal, and discussed the need to report any ear pain, discharge from the ear, or an ear infection during </w:t>
      </w:r>
      <w:r w:rsidRPr="009032FD">
        <w:rPr>
          <w:rFonts w:ascii="Arial" w:hAnsi="Arial" w:cs="Arial"/>
        </w:rPr>
        <w:t>denosumab treatment.</w:t>
      </w:r>
      <w:r w:rsidR="00694EBE" w:rsidRPr="009032FD">
        <w:rPr>
          <w:rFonts w:ascii="Arial" w:hAnsi="Arial" w:cs="Arial"/>
        </w:rPr>
        <w:t xml:space="preserve"> The patient has been advised to seek medical advice if there are new symptoms suggestive of atypical femoral fracture.</w:t>
      </w:r>
    </w:p>
    <w:p w14:paraId="45731104" w14:textId="70040DD7" w:rsidR="005A377C" w:rsidRPr="00B715A2" w:rsidRDefault="005A377C" w:rsidP="00C11577">
      <w:pPr>
        <w:rPr>
          <w:rFonts w:ascii="Arial" w:hAnsi="Arial" w:cs="Arial"/>
        </w:rPr>
      </w:pPr>
      <w:r w:rsidRPr="009032FD">
        <w:rPr>
          <w:rFonts w:ascii="Arial" w:hAnsi="Arial" w:cs="Arial"/>
        </w:rPr>
        <w:t>I attach a copy of the Hertfordshire</w:t>
      </w:r>
      <w:r w:rsidR="00694EBE" w:rsidRPr="009032FD">
        <w:rPr>
          <w:rFonts w:ascii="Arial" w:hAnsi="Arial" w:cs="Arial"/>
        </w:rPr>
        <w:t xml:space="preserve"> and west Essex</w:t>
      </w:r>
      <w:r w:rsidRPr="009032FD">
        <w:rPr>
          <w:rFonts w:ascii="Arial" w:hAnsi="Arial" w:cs="Arial"/>
        </w:rPr>
        <w:t xml:space="preserve"> denosu</w:t>
      </w:r>
      <w:r w:rsidR="00267696" w:rsidRPr="009032FD">
        <w:rPr>
          <w:rFonts w:ascii="Arial" w:hAnsi="Arial" w:cs="Arial"/>
        </w:rPr>
        <w:t xml:space="preserve">mab </w:t>
      </w:r>
      <w:r w:rsidR="00694EBE" w:rsidRPr="009032FD">
        <w:rPr>
          <w:rFonts w:ascii="Arial" w:hAnsi="Arial" w:cs="Arial"/>
        </w:rPr>
        <w:t>prescribing support document</w:t>
      </w:r>
      <w:r w:rsidRPr="009032FD">
        <w:rPr>
          <w:rFonts w:ascii="Arial" w:hAnsi="Arial" w:cs="Arial"/>
        </w:rPr>
        <w:t>.  The current version of the guideline can</w:t>
      </w:r>
      <w:r w:rsidR="009E6D30" w:rsidRPr="009032FD">
        <w:rPr>
          <w:rFonts w:ascii="Arial" w:hAnsi="Arial" w:cs="Arial"/>
        </w:rPr>
        <w:t xml:space="preserve"> be found on the </w:t>
      </w:r>
      <w:r w:rsidR="00694EBE" w:rsidRPr="009032FD">
        <w:rPr>
          <w:rFonts w:ascii="Arial" w:hAnsi="Arial" w:cs="Arial"/>
        </w:rPr>
        <w:t xml:space="preserve">Hertfordshire and west Essex ICB Prescribing, Policies and Pathways website </w:t>
      </w:r>
      <w:hyperlink r:id="rId7" w:history="1">
        <w:r w:rsidR="00694EBE" w:rsidRPr="009032FD">
          <w:rPr>
            <w:rStyle w:val="Hyperlink"/>
            <w:rFonts w:ascii="Arial" w:hAnsi="Arial" w:cs="Arial"/>
          </w:rPr>
          <w:t>https://www.hweclinicalguidance.nhs.uk/home</w:t>
        </w:r>
      </w:hyperlink>
      <w:r w:rsidR="00694EBE">
        <w:rPr>
          <w:rFonts w:ascii="Arial" w:hAnsi="Arial" w:cs="Arial"/>
        </w:rPr>
        <w:t xml:space="preserve"> </w:t>
      </w:r>
    </w:p>
    <w:p w14:paraId="6A609739" w14:textId="77777777" w:rsidR="005A377C" w:rsidRDefault="005A377C" w:rsidP="004401C6">
      <w:pPr>
        <w:rPr>
          <w:rFonts w:ascii="Arial" w:hAnsi="Arial" w:cs="Arial"/>
        </w:rPr>
      </w:pPr>
      <w:r w:rsidRPr="00B715A2">
        <w:rPr>
          <w:rFonts w:ascii="Arial" w:hAnsi="Arial" w:cs="Arial"/>
        </w:rPr>
        <w:t>According to the current guideli</w:t>
      </w:r>
      <w:r>
        <w:rPr>
          <w:rFonts w:ascii="Arial" w:hAnsi="Arial" w:cs="Arial"/>
        </w:rPr>
        <w:t>nes, your patient will need a D</w:t>
      </w:r>
      <w:r w:rsidRPr="00B715A2">
        <w:rPr>
          <w:rFonts w:ascii="Arial" w:hAnsi="Arial" w:cs="Arial"/>
        </w:rPr>
        <w:t xml:space="preserve">XA scan after the </w:t>
      </w:r>
      <w:r w:rsidR="007460EC">
        <w:rPr>
          <w:rFonts w:ascii="Arial" w:hAnsi="Arial" w:cs="Arial"/>
        </w:rPr>
        <w:t>5</w:t>
      </w:r>
      <w:r w:rsidR="007460EC" w:rsidRPr="00B715A2">
        <w:rPr>
          <w:rFonts w:ascii="Arial" w:hAnsi="Arial" w:cs="Arial"/>
          <w:vertAlign w:val="superscript"/>
        </w:rPr>
        <w:t>th</w:t>
      </w:r>
      <w:r w:rsidR="007460EC" w:rsidRPr="00B715A2">
        <w:rPr>
          <w:rFonts w:ascii="Arial" w:hAnsi="Arial" w:cs="Arial"/>
        </w:rPr>
        <w:t xml:space="preserve"> </w:t>
      </w:r>
      <w:r w:rsidRPr="00B715A2">
        <w:rPr>
          <w:rFonts w:ascii="Arial" w:hAnsi="Arial" w:cs="Arial"/>
        </w:rPr>
        <w:t>injection (</w:t>
      </w:r>
      <w:r w:rsidR="007460EC">
        <w:rPr>
          <w:rFonts w:ascii="Arial" w:hAnsi="Arial" w:cs="Arial"/>
        </w:rPr>
        <w:t>i.e. after 2</w:t>
      </w:r>
      <w:r w:rsidRPr="00B715A2">
        <w:rPr>
          <w:rFonts w:ascii="Arial" w:hAnsi="Arial" w:cs="Arial"/>
        </w:rPr>
        <w:t xml:space="preserve"> years of treatment) </w:t>
      </w:r>
      <w:r w:rsidR="007460EC">
        <w:rPr>
          <w:rFonts w:ascii="Arial" w:hAnsi="Arial" w:cs="Arial"/>
        </w:rPr>
        <w:t>to ensure they are responding to the treatment. After the 10</w:t>
      </w:r>
      <w:r w:rsidR="007460EC" w:rsidRPr="007460EC">
        <w:rPr>
          <w:rFonts w:ascii="Arial" w:hAnsi="Arial" w:cs="Arial"/>
          <w:vertAlign w:val="superscript"/>
        </w:rPr>
        <w:t>th</w:t>
      </w:r>
      <w:r w:rsidR="007460EC">
        <w:rPr>
          <w:rFonts w:ascii="Arial" w:hAnsi="Arial" w:cs="Arial"/>
        </w:rPr>
        <w:t xml:space="preserve"> injection (i.e. after 5 years of treatment) the patient will need a further DXA scan arranged and should be referred back to secondary care in order to decide on continuing treatment.</w:t>
      </w:r>
    </w:p>
    <w:p w14:paraId="16965E92" w14:textId="77777777" w:rsidR="00DA35BB" w:rsidRPr="00B715A2" w:rsidRDefault="00DA35BB" w:rsidP="004401C6">
      <w:pPr>
        <w:rPr>
          <w:rFonts w:ascii="Arial" w:hAnsi="Arial" w:cs="Arial"/>
        </w:rPr>
      </w:pPr>
      <w:r>
        <w:rPr>
          <w:rFonts w:ascii="Arial" w:hAnsi="Arial" w:cs="Arial"/>
        </w:rPr>
        <w:t>Yours sincerely</w:t>
      </w:r>
    </w:p>
    <w:p w14:paraId="21B6B9FE" w14:textId="77777777" w:rsidR="005A377C" w:rsidRPr="00B715A2" w:rsidRDefault="005A377C" w:rsidP="00373996">
      <w:pPr>
        <w:rPr>
          <w:rFonts w:ascii="Arial" w:hAnsi="Arial" w:cs="Arial"/>
        </w:rPr>
      </w:pPr>
      <w:r w:rsidRPr="00B715A2">
        <w:rPr>
          <w:rFonts w:ascii="Arial" w:hAnsi="Arial" w:cs="Arial"/>
          <w:sz w:val="20"/>
          <w:szCs w:val="20"/>
        </w:rPr>
        <w:fldChar w:fldCharType="begin">
          <w:ffData>
            <w:name w:val="Text4"/>
            <w:enabled/>
            <w:calcOnExit w:val="0"/>
            <w:textInput/>
          </w:ffData>
        </w:fldChar>
      </w:r>
      <w:r w:rsidRPr="00B715A2">
        <w:rPr>
          <w:rFonts w:ascii="Arial" w:hAnsi="Arial" w:cs="Arial"/>
          <w:sz w:val="20"/>
          <w:szCs w:val="20"/>
        </w:rPr>
        <w:instrText xml:space="preserve"> FORMTEXT </w:instrText>
      </w:r>
      <w:r w:rsidRPr="00B715A2">
        <w:rPr>
          <w:rFonts w:ascii="Arial" w:hAnsi="Arial" w:cs="Arial"/>
          <w:sz w:val="20"/>
          <w:szCs w:val="20"/>
        </w:rPr>
      </w:r>
      <w:r w:rsidRPr="00B715A2">
        <w:rPr>
          <w:rFonts w:ascii="Arial" w:hAnsi="Arial" w:cs="Arial"/>
          <w:sz w:val="20"/>
          <w:szCs w:val="20"/>
        </w:rPr>
        <w:fldChar w:fldCharType="separate"/>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eastAsia="Arial Unicode MS" w:hAnsi="Arial Unicode MS" w:cs="Arial" w:hint="eastAsia"/>
          <w:noProof/>
          <w:sz w:val="20"/>
          <w:szCs w:val="20"/>
        </w:rPr>
        <w:t> </w:t>
      </w:r>
      <w:r w:rsidRPr="00B715A2">
        <w:rPr>
          <w:rFonts w:ascii="Arial" w:hAnsi="Arial" w:cs="Arial"/>
          <w:sz w:val="20"/>
          <w:szCs w:val="20"/>
        </w:rPr>
        <w:fldChar w:fldCharType="end"/>
      </w:r>
    </w:p>
    <w:sectPr w:rsidR="005A377C" w:rsidRPr="00B715A2" w:rsidSect="003970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7083" w14:textId="77777777" w:rsidR="006C30E7" w:rsidRDefault="006C30E7" w:rsidP="006C30E7">
      <w:pPr>
        <w:spacing w:after="0" w:line="240" w:lineRule="auto"/>
      </w:pPr>
      <w:r>
        <w:separator/>
      </w:r>
    </w:p>
  </w:endnote>
  <w:endnote w:type="continuationSeparator" w:id="0">
    <w:p w14:paraId="6AA23A87" w14:textId="77777777" w:rsidR="006C30E7" w:rsidRDefault="006C30E7" w:rsidP="006C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0C87" w14:textId="77777777" w:rsidR="006C30E7" w:rsidRDefault="006C30E7" w:rsidP="006C30E7">
      <w:pPr>
        <w:spacing w:after="0" w:line="240" w:lineRule="auto"/>
      </w:pPr>
      <w:r>
        <w:separator/>
      </w:r>
    </w:p>
  </w:footnote>
  <w:footnote w:type="continuationSeparator" w:id="0">
    <w:p w14:paraId="142BCEE9" w14:textId="77777777" w:rsidR="006C30E7" w:rsidRDefault="006C30E7" w:rsidP="006C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F0E"/>
    <w:multiLevelType w:val="hybridMultilevel"/>
    <w:tmpl w:val="C95C843C"/>
    <w:lvl w:ilvl="0" w:tplc="B5CC0038">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E0049"/>
    <w:multiLevelType w:val="hybridMultilevel"/>
    <w:tmpl w:val="340E5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D2F30"/>
    <w:multiLevelType w:val="hybridMultilevel"/>
    <w:tmpl w:val="F7B0B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405BC8"/>
    <w:multiLevelType w:val="hybridMultilevel"/>
    <w:tmpl w:val="A90257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3118736">
    <w:abstractNumId w:val="0"/>
  </w:num>
  <w:num w:numId="2" w16cid:durableId="972323389">
    <w:abstractNumId w:val="1"/>
  </w:num>
  <w:num w:numId="3" w16cid:durableId="704865442">
    <w:abstractNumId w:val="3"/>
  </w:num>
  <w:num w:numId="4" w16cid:durableId="14427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BJD5/EmKqAIqBuhvDkaI3v2wx7+D2H1jGzWZlav6A4/P2nbK6L1UUWFmBpmVFniVFP/tPR4g9mndfPe9ewnVg==" w:salt="cH/r09EvmHh2G03wUIsCY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0F"/>
    <w:rsid w:val="00022E09"/>
    <w:rsid w:val="00041EF5"/>
    <w:rsid w:val="00044ACA"/>
    <w:rsid w:val="00056112"/>
    <w:rsid w:val="0006249D"/>
    <w:rsid w:val="00065404"/>
    <w:rsid w:val="00075C93"/>
    <w:rsid w:val="00080005"/>
    <w:rsid w:val="000B0600"/>
    <w:rsid w:val="000B7D95"/>
    <w:rsid w:val="000C21D1"/>
    <w:rsid w:val="000F28DE"/>
    <w:rsid w:val="000F3F35"/>
    <w:rsid w:val="000F4AA3"/>
    <w:rsid w:val="00107E1E"/>
    <w:rsid w:val="001100E9"/>
    <w:rsid w:val="00115F6B"/>
    <w:rsid w:val="00121769"/>
    <w:rsid w:val="001553AA"/>
    <w:rsid w:val="001557FF"/>
    <w:rsid w:val="0017370B"/>
    <w:rsid w:val="001974B8"/>
    <w:rsid w:val="001A6493"/>
    <w:rsid w:val="001E4960"/>
    <w:rsid w:val="00206D5E"/>
    <w:rsid w:val="00212299"/>
    <w:rsid w:val="00224BA9"/>
    <w:rsid w:val="00237681"/>
    <w:rsid w:val="00237906"/>
    <w:rsid w:val="0024604D"/>
    <w:rsid w:val="00254025"/>
    <w:rsid w:val="00260DC8"/>
    <w:rsid w:val="0026633A"/>
    <w:rsid w:val="00267696"/>
    <w:rsid w:val="0028044D"/>
    <w:rsid w:val="002C4D62"/>
    <w:rsid w:val="002D416F"/>
    <w:rsid w:val="00326178"/>
    <w:rsid w:val="003267B9"/>
    <w:rsid w:val="00345629"/>
    <w:rsid w:val="00353C31"/>
    <w:rsid w:val="00373996"/>
    <w:rsid w:val="003970A1"/>
    <w:rsid w:val="003A38E0"/>
    <w:rsid w:val="003D5922"/>
    <w:rsid w:val="00403284"/>
    <w:rsid w:val="00405379"/>
    <w:rsid w:val="004176C7"/>
    <w:rsid w:val="004401C6"/>
    <w:rsid w:val="004E4273"/>
    <w:rsid w:val="004F2D2E"/>
    <w:rsid w:val="004F7A81"/>
    <w:rsid w:val="0052123B"/>
    <w:rsid w:val="005861E8"/>
    <w:rsid w:val="0059782E"/>
    <w:rsid w:val="005A377C"/>
    <w:rsid w:val="005B0549"/>
    <w:rsid w:val="005C4A76"/>
    <w:rsid w:val="0060068E"/>
    <w:rsid w:val="00610491"/>
    <w:rsid w:val="00632434"/>
    <w:rsid w:val="006639F6"/>
    <w:rsid w:val="00685F02"/>
    <w:rsid w:val="00694EBE"/>
    <w:rsid w:val="006B70E9"/>
    <w:rsid w:val="006C1A84"/>
    <w:rsid w:val="006C30E7"/>
    <w:rsid w:val="006E593E"/>
    <w:rsid w:val="007002BE"/>
    <w:rsid w:val="00713490"/>
    <w:rsid w:val="007378AE"/>
    <w:rsid w:val="007460EC"/>
    <w:rsid w:val="007577CA"/>
    <w:rsid w:val="00761610"/>
    <w:rsid w:val="00767CC1"/>
    <w:rsid w:val="00767E46"/>
    <w:rsid w:val="00772151"/>
    <w:rsid w:val="00784A46"/>
    <w:rsid w:val="00795389"/>
    <w:rsid w:val="007B3834"/>
    <w:rsid w:val="007F10C9"/>
    <w:rsid w:val="007F42C3"/>
    <w:rsid w:val="008436B0"/>
    <w:rsid w:val="00862324"/>
    <w:rsid w:val="00867448"/>
    <w:rsid w:val="00872A4B"/>
    <w:rsid w:val="008752AF"/>
    <w:rsid w:val="008A131E"/>
    <w:rsid w:val="008B05B9"/>
    <w:rsid w:val="008B131D"/>
    <w:rsid w:val="008B608C"/>
    <w:rsid w:val="008D1C0F"/>
    <w:rsid w:val="008F5972"/>
    <w:rsid w:val="009032FD"/>
    <w:rsid w:val="0091650A"/>
    <w:rsid w:val="00924FF6"/>
    <w:rsid w:val="00945216"/>
    <w:rsid w:val="00981DBD"/>
    <w:rsid w:val="0099172E"/>
    <w:rsid w:val="00991A3F"/>
    <w:rsid w:val="009E6D30"/>
    <w:rsid w:val="009E747C"/>
    <w:rsid w:val="009F09C4"/>
    <w:rsid w:val="00A24C3F"/>
    <w:rsid w:val="00A32389"/>
    <w:rsid w:val="00A34367"/>
    <w:rsid w:val="00A35E5D"/>
    <w:rsid w:val="00A40325"/>
    <w:rsid w:val="00A40ACF"/>
    <w:rsid w:val="00A45A96"/>
    <w:rsid w:val="00A505F3"/>
    <w:rsid w:val="00A86E85"/>
    <w:rsid w:val="00AE7C3F"/>
    <w:rsid w:val="00B16F9D"/>
    <w:rsid w:val="00B406C3"/>
    <w:rsid w:val="00B45295"/>
    <w:rsid w:val="00B715A2"/>
    <w:rsid w:val="00B805EB"/>
    <w:rsid w:val="00B91538"/>
    <w:rsid w:val="00BB4A01"/>
    <w:rsid w:val="00BB739C"/>
    <w:rsid w:val="00BE27A1"/>
    <w:rsid w:val="00BE662D"/>
    <w:rsid w:val="00C00F64"/>
    <w:rsid w:val="00C11577"/>
    <w:rsid w:val="00C12D76"/>
    <w:rsid w:val="00C42B3F"/>
    <w:rsid w:val="00C43F60"/>
    <w:rsid w:val="00C61AA6"/>
    <w:rsid w:val="00C70D4E"/>
    <w:rsid w:val="00C977D2"/>
    <w:rsid w:val="00CB226B"/>
    <w:rsid w:val="00CB2A85"/>
    <w:rsid w:val="00CB3921"/>
    <w:rsid w:val="00CE076A"/>
    <w:rsid w:val="00D13D46"/>
    <w:rsid w:val="00D216FC"/>
    <w:rsid w:val="00D21D0B"/>
    <w:rsid w:val="00D321F2"/>
    <w:rsid w:val="00D6531B"/>
    <w:rsid w:val="00D660F9"/>
    <w:rsid w:val="00D969BE"/>
    <w:rsid w:val="00DA35BB"/>
    <w:rsid w:val="00DC5F0E"/>
    <w:rsid w:val="00DC6E3A"/>
    <w:rsid w:val="00DD4977"/>
    <w:rsid w:val="00DE6E60"/>
    <w:rsid w:val="00DF06CE"/>
    <w:rsid w:val="00DF1F50"/>
    <w:rsid w:val="00DF7CE6"/>
    <w:rsid w:val="00E01778"/>
    <w:rsid w:val="00E41B6C"/>
    <w:rsid w:val="00E7117D"/>
    <w:rsid w:val="00E77A8D"/>
    <w:rsid w:val="00E93A55"/>
    <w:rsid w:val="00EA65A3"/>
    <w:rsid w:val="00EA79B5"/>
    <w:rsid w:val="00EB140F"/>
    <w:rsid w:val="00EB321C"/>
    <w:rsid w:val="00EE23B1"/>
    <w:rsid w:val="00F02CEE"/>
    <w:rsid w:val="00F15BC0"/>
    <w:rsid w:val="00F445AD"/>
    <w:rsid w:val="00F46D9C"/>
    <w:rsid w:val="00F519A6"/>
    <w:rsid w:val="00F84CDC"/>
    <w:rsid w:val="00F928CD"/>
    <w:rsid w:val="00FD5335"/>
    <w:rsid w:val="00FE2EB0"/>
    <w:rsid w:val="00FE4408"/>
    <w:rsid w:val="00FE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6625"/>
    <o:shapelayout v:ext="edit">
      <o:idmap v:ext="edit" data="1"/>
    </o:shapelayout>
  </w:shapeDefaults>
  <w:decimalSymbol w:val="."/>
  <w:listSeparator w:val=","/>
  <w14:docId w14:val="540610C7"/>
  <w15:docId w15:val="{2BDC61BD-F238-48A6-B32F-133759A2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B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86E85"/>
    <w:rPr>
      <w:rFonts w:cs="Times New Roman"/>
      <w:sz w:val="16"/>
    </w:rPr>
  </w:style>
  <w:style w:type="paragraph" w:styleId="CommentText">
    <w:name w:val="annotation text"/>
    <w:basedOn w:val="Normal"/>
    <w:link w:val="CommentTextChar"/>
    <w:uiPriority w:val="99"/>
    <w:semiHidden/>
    <w:rsid w:val="00A86E85"/>
    <w:rPr>
      <w:sz w:val="20"/>
      <w:szCs w:val="20"/>
    </w:rPr>
  </w:style>
  <w:style w:type="character" w:customStyle="1" w:styleId="CommentTextChar">
    <w:name w:val="Comment Text Char"/>
    <w:basedOn w:val="DefaultParagraphFont"/>
    <w:link w:val="CommentText"/>
    <w:uiPriority w:val="99"/>
    <w:semiHidden/>
    <w:locked/>
    <w:rsid w:val="001557FF"/>
    <w:rPr>
      <w:rFonts w:cs="Times New Roman"/>
      <w:sz w:val="20"/>
      <w:lang w:eastAsia="en-US"/>
    </w:rPr>
  </w:style>
  <w:style w:type="paragraph" w:styleId="CommentSubject">
    <w:name w:val="annotation subject"/>
    <w:basedOn w:val="CommentText"/>
    <w:next w:val="CommentText"/>
    <w:link w:val="CommentSubjectChar"/>
    <w:uiPriority w:val="99"/>
    <w:semiHidden/>
    <w:rsid w:val="00A86E85"/>
    <w:rPr>
      <w:b/>
    </w:rPr>
  </w:style>
  <w:style w:type="character" w:customStyle="1" w:styleId="CommentSubjectChar">
    <w:name w:val="Comment Subject Char"/>
    <w:basedOn w:val="CommentTextChar"/>
    <w:link w:val="CommentSubject"/>
    <w:uiPriority w:val="99"/>
    <w:semiHidden/>
    <w:locked/>
    <w:rsid w:val="001557FF"/>
    <w:rPr>
      <w:rFonts w:cs="Times New Roman"/>
      <w:b/>
      <w:sz w:val="20"/>
      <w:lang w:eastAsia="en-US"/>
    </w:rPr>
  </w:style>
  <w:style w:type="paragraph" w:styleId="BalloonText">
    <w:name w:val="Balloon Text"/>
    <w:basedOn w:val="Normal"/>
    <w:link w:val="BalloonTextChar"/>
    <w:uiPriority w:val="99"/>
    <w:semiHidden/>
    <w:rsid w:val="00A86E85"/>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1557FF"/>
    <w:rPr>
      <w:rFonts w:ascii="Times New Roman" w:hAnsi="Times New Roman" w:cs="Times New Roman"/>
      <w:sz w:val="2"/>
      <w:lang w:eastAsia="en-US"/>
    </w:rPr>
  </w:style>
  <w:style w:type="character" w:styleId="Hyperlink">
    <w:name w:val="Hyperlink"/>
    <w:basedOn w:val="DefaultParagraphFont"/>
    <w:uiPriority w:val="99"/>
    <w:rsid w:val="00B715A2"/>
    <w:rPr>
      <w:rFonts w:cs="Times New Roman"/>
      <w:color w:val="0000FF"/>
      <w:u w:val="single"/>
    </w:rPr>
  </w:style>
  <w:style w:type="character" w:styleId="FollowedHyperlink">
    <w:name w:val="FollowedHyperlink"/>
    <w:basedOn w:val="DefaultParagraphFont"/>
    <w:uiPriority w:val="99"/>
    <w:rsid w:val="009F09C4"/>
    <w:rPr>
      <w:rFonts w:cs="Times New Roman"/>
      <w:color w:val="800080"/>
      <w:u w:val="single"/>
    </w:rPr>
  </w:style>
  <w:style w:type="paragraph" w:styleId="ListParagraph">
    <w:name w:val="List Paragraph"/>
    <w:basedOn w:val="Normal"/>
    <w:uiPriority w:val="34"/>
    <w:qFormat/>
    <w:rsid w:val="00DF06CE"/>
    <w:pPr>
      <w:ind w:left="720"/>
      <w:contextualSpacing/>
    </w:pPr>
  </w:style>
  <w:style w:type="paragraph" w:styleId="Header">
    <w:name w:val="header"/>
    <w:basedOn w:val="Normal"/>
    <w:link w:val="HeaderChar"/>
    <w:uiPriority w:val="99"/>
    <w:unhideWhenUsed/>
    <w:rsid w:val="006C3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0E7"/>
    <w:rPr>
      <w:lang w:eastAsia="en-US"/>
    </w:rPr>
  </w:style>
  <w:style w:type="paragraph" w:styleId="Footer">
    <w:name w:val="footer"/>
    <w:basedOn w:val="Normal"/>
    <w:link w:val="FooterChar"/>
    <w:uiPriority w:val="99"/>
    <w:unhideWhenUsed/>
    <w:rsid w:val="006C3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0E7"/>
    <w:rPr>
      <w:lang w:eastAsia="en-US"/>
    </w:rPr>
  </w:style>
  <w:style w:type="character" w:styleId="UnresolvedMention">
    <w:name w:val="Unresolved Mention"/>
    <w:basedOn w:val="DefaultParagraphFont"/>
    <w:uiPriority w:val="99"/>
    <w:semiHidden/>
    <w:unhideWhenUsed/>
    <w:rsid w:val="00694EBE"/>
    <w:rPr>
      <w:color w:val="605E5C"/>
      <w:shd w:val="clear" w:color="auto" w:fill="E1DFDD"/>
    </w:rPr>
  </w:style>
  <w:style w:type="paragraph" w:styleId="Revision">
    <w:name w:val="Revision"/>
    <w:hidden/>
    <w:uiPriority w:val="99"/>
    <w:semiHidden/>
    <w:rsid w:val="00A45A9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46872">
      <w:marLeft w:val="0"/>
      <w:marRight w:val="0"/>
      <w:marTop w:val="0"/>
      <w:marBottom w:val="0"/>
      <w:divBdr>
        <w:top w:val="none" w:sz="0" w:space="0" w:color="auto"/>
        <w:left w:val="none" w:sz="0" w:space="0" w:color="auto"/>
        <w:bottom w:val="none" w:sz="0" w:space="0" w:color="auto"/>
        <w:right w:val="none" w:sz="0" w:space="0" w:color="auto"/>
      </w:divBdr>
      <w:divsChild>
        <w:div w:id="925646878">
          <w:marLeft w:val="0"/>
          <w:marRight w:val="0"/>
          <w:marTop w:val="0"/>
          <w:marBottom w:val="0"/>
          <w:divBdr>
            <w:top w:val="none" w:sz="0" w:space="0" w:color="auto"/>
            <w:left w:val="none" w:sz="0" w:space="0" w:color="auto"/>
            <w:bottom w:val="none" w:sz="0" w:space="0" w:color="auto"/>
            <w:right w:val="none" w:sz="0" w:space="0" w:color="auto"/>
          </w:divBdr>
          <w:divsChild>
            <w:div w:id="925646871">
              <w:marLeft w:val="0"/>
              <w:marRight w:val="0"/>
              <w:marTop w:val="0"/>
              <w:marBottom w:val="0"/>
              <w:divBdr>
                <w:top w:val="none" w:sz="0" w:space="0" w:color="auto"/>
                <w:left w:val="none" w:sz="0" w:space="0" w:color="auto"/>
                <w:bottom w:val="none" w:sz="0" w:space="0" w:color="auto"/>
                <w:right w:val="none" w:sz="0" w:space="0" w:color="auto"/>
              </w:divBdr>
            </w:div>
            <w:div w:id="925646873">
              <w:marLeft w:val="0"/>
              <w:marRight w:val="0"/>
              <w:marTop w:val="0"/>
              <w:marBottom w:val="0"/>
              <w:divBdr>
                <w:top w:val="none" w:sz="0" w:space="0" w:color="auto"/>
                <w:left w:val="none" w:sz="0" w:space="0" w:color="auto"/>
                <w:bottom w:val="none" w:sz="0" w:space="0" w:color="auto"/>
                <w:right w:val="none" w:sz="0" w:space="0" w:color="auto"/>
              </w:divBdr>
            </w:div>
            <w:div w:id="925646874">
              <w:marLeft w:val="0"/>
              <w:marRight w:val="0"/>
              <w:marTop w:val="0"/>
              <w:marBottom w:val="0"/>
              <w:divBdr>
                <w:top w:val="none" w:sz="0" w:space="0" w:color="auto"/>
                <w:left w:val="none" w:sz="0" w:space="0" w:color="auto"/>
                <w:bottom w:val="none" w:sz="0" w:space="0" w:color="auto"/>
                <w:right w:val="none" w:sz="0" w:space="0" w:color="auto"/>
              </w:divBdr>
            </w:div>
            <w:div w:id="925646875">
              <w:marLeft w:val="0"/>
              <w:marRight w:val="0"/>
              <w:marTop w:val="0"/>
              <w:marBottom w:val="0"/>
              <w:divBdr>
                <w:top w:val="none" w:sz="0" w:space="0" w:color="auto"/>
                <w:left w:val="none" w:sz="0" w:space="0" w:color="auto"/>
                <w:bottom w:val="none" w:sz="0" w:space="0" w:color="auto"/>
                <w:right w:val="none" w:sz="0" w:space="0" w:color="auto"/>
              </w:divBdr>
            </w:div>
            <w:div w:id="925646876">
              <w:marLeft w:val="0"/>
              <w:marRight w:val="0"/>
              <w:marTop w:val="0"/>
              <w:marBottom w:val="0"/>
              <w:divBdr>
                <w:top w:val="none" w:sz="0" w:space="0" w:color="auto"/>
                <w:left w:val="none" w:sz="0" w:space="0" w:color="auto"/>
                <w:bottom w:val="none" w:sz="0" w:space="0" w:color="auto"/>
                <w:right w:val="none" w:sz="0" w:space="0" w:color="auto"/>
              </w:divBdr>
            </w:div>
            <w:div w:id="925646877">
              <w:marLeft w:val="0"/>
              <w:marRight w:val="0"/>
              <w:marTop w:val="0"/>
              <w:marBottom w:val="0"/>
              <w:divBdr>
                <w:top w:val="none" w:sz="0" w:space="0" w:color="auto"/>
                <w:left w:val="none" w:sz="0" w:space="0" w:color="auto"/>
                <w:bottom w:val="none" w:sz="0" w:space="0" w:color="auto"/>
                <w:right w:val="none" w:sz="0" w:space="0" w:color="auto"/>
              </w:divBdr>
            </w:div>
            <w:div w:id="925646879">
              <w:marLeft w:val="0"/>
              <w:marRight w:val="0"/>
              <w:marTop w:val="0"/>
              <w:marBottom w:val="0"/>
              <w:divBdr>
                <w:top w:val="none" w:sz="0" w:space="0" w:color="auto"/>
                <w:left w:val="none" w:sz="0" w:space="0" w:color="auto"/>
                <w:bottom w:val="none" w:sz="0" w:space="0" w:color="auto"/>
                <w:right w:val="none" w:sz="0" w:space="0" w:color="auto"/>
              </w:divBdr>
            </w:div>
            <w:div w:id="925646880">
              <w:marLeft w:val="0"/>
              <w:marRight w:val="0"/>
              <w:marTop w:val="0"/>
              <w:marBottom w:val="0"/>
              <w:divBdr>
                <w:top w:val="none" w:sz="0" w:space="0" w:color="auto"/>
                <w:left w:val="none" w:sz="0" w:space="0" w:color="auto"/>
                <w:bottom w:val="none" w:sz="0" w:space="0" w:color="auto"/>
                <w:right w:val="none" w:sz="0" w:space="0" w:color="auto"/>
              </w:divBdr>
            </w:div>
            <w:div w:id="925646881">
              <w:marLeft w:val="0"/>
              <w:marRight w:val="0"/>
              <w:marTop w:val="0"/>
              <w:marBottom w:val="0"/>
              <w:divBdr>
                <w:top w:val="none" w:sz="0" w:space="0" w:color="auto"/>
                <w:left w:val="none" w:sz="0" w:space="0" w:color="auto"/>
                <w:bottom w:val="none" w:sz="0" w:space="0" w:color="auto"/>
                <w:right w:val="none" w:sz="0" w:space="0" w:color="auto"/>
              </w:divBdr>
            </w:div>
            <w:div w:id="925646882">
              <w:marLeft w:val="0"/>
              <w:marRight w:val="0"/>
              <w:marTop w:val="0"/>
              <w:marBottom w:val="0"/>
              <w:divBdr>
                <w:top w:val="none" w:sz="0" w:space="0" w:color="auto"/>
                <w:left w:val="none" w:sz="0" w:space="0" w:color="auto"/>
                <w:bottom w:val="none" w:sz="0" w:space="0" w:color="auto"/>
                <w:right w:val="none" w:sz="0" w:space="0" w:color="auto"/>
              </w:divBdr>
            </w:div>
            <w:div w:id="9256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6884">
      <w:marLeft w:val="0"/>
      <w:marRight w:val="0"/>
      <w:marTop w:val="0"/>
      <w:marBottom w:val="0"/>
      <w:divBdr>
        <w:top w:val="none" w:sz="0" w:space="0" w:color="auto"/>
        <w:left w:val="none" w:sz="0" w:space="0" w:color="auto"/>
        <w:bottom w:val="none" w:sz="0" w:space="0" w:color="auto"/>
        <w:right w:val="none" w:sz="0" w:space="0" w:color="auto"/>
      </w:divBdr>
      <w:divsChild>
        <w:div w:id="925646885">
          <w:marLeft w:val="0"/>
          <w:marRight w:val="0"/>
          <w:marTop w:val="0"/>
          <w:marBottom w:val="0"/>
          <w:divBdr>
            <w:top w:val="none" w:sz="0" w:space="0" w:color="auto"/>
            <w:left w:val="none" w:sz="0" w:space="0" w:color="auto"/>
            <w:bottom w:val="none" w:sz="0" w:space="0" w:color="auto"/>
            <w:right w:val="none" w:sz="0" w:space="0" w:color="auto"/>
          </w:divBdr>
          <w:divsChild>
            <w:div w:id="9256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eclinicalguidance.nhs.uk/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Information sheet for the use of denosumab in patients with low bone density for GPs and patients</vt:lpstr>
    </vt:vector>
  </TitlesOfParts>
  <Company>Hewlett-Packard</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the use of denosumab in patients with low bone density for GPs and patients</dc:title>
  <dc:creator>Fiona</dc:creator>
  <cp:lastModifiedBy>KENNY, Angela (NHS HERTFORDSHIRE AND WEST ESSEX ICB - 07H)</cp:lastModifiedBy>
  <cp:revision>3</cp:revision>
  <cp:lastPrinted>2013-06-20T10:05:00Z</cp:lastPrinted>
  <dcterms:created xsi:type="dcterms:W3CDTF">2024-08-01T11:42:00Z</dcterms:created>
  <dcterms:modified xsi:type="dcterms:W3CDTF">2024-08-01T11:43:00Z</dcterms:modified>
</cp:coreProperties>
</file>